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CC" w:rsidRDefault="00D37BCC">
      <w:bookmarkStart w:id="0" w:name="_GoBack"/>
      <w:bookmarkEnd w:id="0"/>
      <w:r w:rsidRPr="00D37BCC">
        <w:rPr>
          <w:noProof/>
          <w:lang w:eastAsia="el-GR"/>
        </w:rPr>
        <w:drawing>
          <wp:inline distT="0" distB="0" distL="0" distR="0">
            <wp:extent cx="5274310" cy="7459533"/>
            <wp:effectExtent l="0" t="0" r="2540" b="8255"/>
            <wp:docPr id="1" name="Εικόνα 1" descr="C:\Users\user\AppData\Local\Temp\esek-co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esek-cover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459533"/>
                    </a:xfrm>
                    <a:prstGeom prst="rect">
                      <a:avLst/>
                    </a:prstGeom>
                    <a:noFill/>
                    <a:ln>
                      <a:noFill/>
                    </a:ln>
                  </pic:spPr>
                </pic:pic>
              </a:graphicData>
            </a:graphic>
          </wp:inline>
        </w:drawing>
      </w:r>
    </w:p>
    <w:p w:rsidR="00D37BCC" w:rsidRPr="00D37BCC" w:rsidRDefault="00D37BCC" w:rsidP="00D37BCC"/>
    <w:p w:rsidR="0067647C" w:rsidRDefault="0067647C" w:rsidP="0067647C">
      <w:pPr>
        <w:tabs>
          <w:tab w:val="left" w:pos="3300"/>
        </w:tabs>
        <w:spacing w:line="288" w:lineRule="auto"/>
        <w:jc w:val="both"/>
      </w:pPr>
    </w:p>
    <w:p w:rsidR="0067647C" w:rsidRDefault="0067647C" w:rsidP="0067647C">
      <w:pPr>
        <w:tabs>
          <w:tab w:val="left" w:pos="3300"/>
        </w:tabs>
        <w:spacing w:line="288" w:lineRule="auto"/>
        <w:jc w:val="both"/>
      </w:pPr>
    </w:p>
    <w:p w:rsidR="0067647C" w:rsidRDefault="0067647C" w:rsidP="0067647C">
      <w:pPr>
        <w:tabs>
          <w:tab w:val="left" w:pos="3300"/>
        </w:tabs>
        <w:spacing w:line="288" w:lineRule="auto"/>
        <w:jc w:val="both"/>
      </w:pPr>
    </w:p>
    <w:p w:rsidR="0067647C" w:rsidRPr="00E06DAC" w:rsidRDefault="0067647C" w:rsidP="00E06DAC">
      <w:pPr>
        <w:tabs>
          <w:tab w:val="left" w:pos="3300"/>
        </w:tabs>
        <w:jc w:val="center"/>
        <w:rPr>
          <w:b/>
          <w:sz w:val="40"/>
          <w:szCs w:val="40"/>
          <w:u w:val="single"/>
          <w:lang w:val="en-US"/>
        </w:rPr>
      </w:pPr>
      <w:r w:rsidRPr="00162560">
        <w:rPr>
          <w:b/>
          <w:sz w:val="40"/>
          <w:szCs w:val="40"/>
          <w:u w:val="single"/>
          <w:lang w:val="en-US"/>
        </w:rPr>
        <w:lastRenderedPageBreak/>
        <w:t>ENHME</w:t>
      </w:r>
      <w:r w:rsidRPr="00162560">
        <w:rPr>
          <w:b/>
          <w:sz w:val="40"/>
          <w:szCs w:val="40"/>
          <w:u w:val="single"/>
        </w:rPr>
        <w:t>ΡΩΤΙΚΟ ΣΗΜΕΙΩΜΑ</w:t>
      </w:r>
    </w:p>
    <w:p w:rsidR="0067647C" w:rsidRDefault="0067647C" w:rsidP="0067647C">
      <w:pPr>
        <w:tabs>
          <w:tab w:val="left" w:pos="3300"/>
        </w:tabs>
        <w:spacing w:line="288" w:lineRule="auto"/>
        <w:jc w:val="both"/>
      </w:pPr>
    </w:p>
    <w:p w:rsidR="00D37BCC" w:rsidRPr="0067647C" w:rsidRDefault="00D37BCC" w:rsidP="0067647C">
      <w:pPr>
        <w:tabs>
          <w:tab w:val="left" w:pos="3300"/>
        </w:tabs>
        <w:spacing w:line="312" w:lineRule="auto"/>
        <w:jc w:val="both"/>
        <w:rPr>
          <w:rFonts w:ascii="Verdana" w:hAnsi="Verdana"/>
        </w:rPr>
      </w:pPr>
      <w:r w:rsidRPr="0067647C">
        <w:rPr>
          <w:rFonts w:ascii="Verdana" w:hAnsi="Verdana"/>
        </w:rPr>
        <w:t xml:space="preserve">Το Εθνικό Σχέδιο για την Ενέργεια και το Κλίμα (ΕΣΕΚ) που παρουσιάστηκε σήμερα στο Υπουργικό Συμβούλιο και τίθεται σε δημόσια διαβούλευση αποτελεί το βασικό εργαλείο σχεδιασμού της εθνικής πολιτικής για την Ενέργεια και το Κλίμα για την επόμενη δεκαετία, λαμβάνοντας υπόψη τις συστάσεις της Ευρωπαϊκής Επιτροπής αλλά και τους στόχους Βιώσιμης Ανάπτυξης του ΟΗΕ. </w:t>
      </w:r>
    </w:p>
    <w:p w:rsidR="00162560" w:rsidRPr="0067647C" w:rsidRDefault="0067647C" w:rsidP="0067647C">
      <w:pPr>
        <w:tabs>
          <w:tab w:val="left" w:pos="3300"/>
        </w:tabs>
        <w:spacing w:line="312" w:lineRule="auto"/>
        <w:jc w:val="both"/>
        <w:rPr>
          <w:rFonts w:ascii="Verdana" w:hAnsi="Verdana"/>
        </w:rPr>
      </w:pPr>
      <w:r>
        <w:rPr>
          <w:rFonts w:ascii="Verdana" w:hAnsi="Verdana"/>
        </w:rPr>
        <w:t xml:space="preserve">Αποτελεί επίσης τον οδικό χάρτη </w:t>
      </w:r>
      <w:r w:rsidR="00D37BCC" w:rsidRPr="0067647C">
        <w:rPr>
          <w:rFonts w:ascii="Verdana" w:hAnsi="Verdana"/>
          <w:b/>
        </w:rPr>
        <w:t>που εξειδικεύει τις βασικές προτεραιότητες της κυβέρνησης στους δυο αυτούς τομείς (ενέργεια-κλίμα),</w:t>
      </w:r>
      <w:r w:rsidR="00D37BCC" w:rsidRPr="0067647C">
        <w:rPr>
          <w:rFonts w:ascii="Verdana" w:hAnsi="Verdana"/>
        </w:rPr>
        <w:t xml:space="preserve"> από την ταχεία </w:t>
      </w:r>
      <w:proofErr w:type="spellStart"/>
      <w:r w:rsidR="00D37BCC" w:rsidRPr="0067647C">
        <w:rPr>
          <w:rFonts w:ascii="Verdana" w:hAnsi="Verdana"/>
        </w:rPr>
        <w:t>απολιγνιτοποίηση</w:t>
      </w:r>
      <w:proofErr w:type="spellEnd"/>
      <w:r w:rsidR="00D37BCC" w:rsidRPr="0067647C">
        <w:rPr>
          <w:rFonts w:ascii="Verdana" w:hAnsi="Verdana"/>
        </w:rPr>
        <w:t xml:space="preserve"> με πρόσημο κοινωνικής δικαιοσύνης και υπευθυνότητας, έως την αυξημένη διείσδυση των ΑΠΕ στο ενεργειακό μείγμα και την προσέλκυση ιδιωτικών κεφαλαίων στα δίκτυα διανομής </w:t>
      </w:r>
      <w:r w:rsidR="00162560" w:rsidRPr="0067647C">
        <w:rPr>
          <w:rFonts w:ascii="Verdana" w:hAnsi="Verdana"/>
        </w:rPr>
        <w:t>φυσικού αερίου και ηλεκτρισμού, ως εργαλεία προώθησης των απαραίτητων επενδύσεων για την ανάπτυξη και τον εκσυγχρονισμό των εν λόγω δικτύων.</w:t>
      </w:r>
    </w:p>
    <w:p w:rsidR="00DC5AB1" w:rsidRPr="0067647C" w:rsidRDefault="00DC5AB1" w:rsidP="0067647C">
      <w:pPr>
        <w:pStyle w:val="Default"/>
        <w:spacing w:before="120" w:after="120" w:line="312" w:lineRule="auto"/>
        <w:jc w:val="both"/>
        <w:rPr>
          <w:rFonts w:ascii="Verdana" w:hAnsi="Verdana" w:cs="Calibri"/>
          <w:color w:val="auto"/>
          <w:sz w:val="22"/>
          <w:szCs w:val="22"/>
        </w:rPr>
      </w:pPr>
      <w:r w:rsidRPr="0067647C">
        <w:rPr>
          <w:rFonts w:ascii="Verdana" w:hAnsi="Verdana" w:cs="Calibri"/>
          <w:sz w:val="22"/>
          <w:szCs w:val="22"/>
        </w:rPr>
        <w:t xml:space="preserve">Μέσω του ΕΣΕΚ </w:t>
      </w:r>
      <w:r w:rsidRPr="0067647C">
        <w:rPr>
          <w:rFonts w:ascii="Verdana" w:hAnsi="Verdana" w:cs="Calibri"/>
          <w:color w:val="auto"/>
          <w:sz w:val="22"/>
          <w:szCs w:val="22"/>
        </w:rPr>
        <w:t xml:space="preserve">αναδεικνύονται οι προτεραιότητες και οι αναπτυξιακές δυνατότητες που έχει η χώρα μας σε θέματα ενέργειας και αντιμετώπισης της κλιματικής αλλαγής και </w:t>
      </w:r>
      <w:r w:rsidR="0067647C" w:rsidRPr="0067647C">
        <w:rPr>
          <w:rFonts w:ascii="Verdana" w:hAnsi="Verdana" w:cs="Calibri"/>
          <w:color w:val="auto"/>
          <w:sz w:val="22"/>
          <w:szCs w:val="22"/>
        </w:rPr>
        <w:t>π</w:t>
      </w:r>
      <w:r w:rsidRPr="0067647C">
        <w:rPr>
          <w:rFonts w:ascii="Verdana" w:hAnsi="Verdana" w:cs="Calibri"/>
          <w:color w:val="auto"/>
          <w:sz w:val="22"/>
          <w:szCs w:val="22"/>
        </w:rPr>
        <w:t xml:space="preserve">ροβλέπεται ένας συγκεκριμένος </w:t>
      </w:r>
      <w:r w:rsidRPr="0067647C">
        <w:rPr>
          <w:rFonts w:ascii="Verdana" w:hAnsi="Verdana" w:cs="Calibri"/>
          <w:b/>
          <w:color w:val="auto"/>
          <w:sz w:val="22"/>
          <w:szCs w:val="22"/>
        </w:rPr>
        <w:t>οδικός χάρτης για την επίτευξη συγκριμένων ποσοτικών και ποιοτικών Στόχων, πάνω στον οποίο θα περιγράφονται Προτεραιότητες και Μέτρα Πολιτικής σε ένα ευρύ φάσμα αναπτυξιακών και οικονομικών δραστηριοτήτων</w:t>
      </w:r>
      <w:r w:rsidRPr="0067647C">
        <w:rPr>
          <w:rFonts w:ascii="Verdana" w:hAnsi="Verdana" w:cs="Calibri"/>
          <w:color w:val="auto"/>
          <w:sz w:val="22"/>
          <w:szCs w:val="22"/>
        </w:rPr>
        <w:t>.</w:t>
      </w:r>
    </w:p>
    <w:p w:rsidR="00B57B20" w:rsidRPr="0067647C" w:rsidRDefault="00B57B20" w:rsidP="0067647C">
      <w:pPr>
        <w:pStyle w:val="Default"/>
        <w:spacing w:before="120" w:after="120" w:line="312" w:lineRule="auto"/>
        <w:jc w:val="both"/>
        <w:rPr>
          <w:rFonts w:ascii="Verdana" w:hAnsi="Verdana" w:cs="Calibri"/>
          <w:color w:val="auto"/>
          <w:sz w:val="22"/>
          <w:szCs w:val="22"/>
        </w:rPr>
      </w:pPr>
      <w:r w:rsidRPr="0067647C">
        <w:rPr>
          <w:rFonts w:ascii="Verdana" w:hAnsi="Verdana" w:cs="Calibri"/>
          <w:color w:val="auto"/>
          <w:sz w:val="22"/>
          <w:szCs w:val="22"/>
        </w:rPr>
        <w:t xml:space="preserve">Οι προτεραιότητες και τα μέτρα πολιτικής διατρέχουν τις έξι διαστάσεις της </w:t>
      </w:r>
      <w:r w:rsidR="0067647C">
        <w:rPr>
          <w:rFonts w:ascii="Verdana" w:hAnsi="Verdana" w:cs="Calibri"/>
          <w:color w:val="auto"/>
          <w:sz w:val="22"/>
          <w:szCs w:val="22"/>
        </w:rPr>
        <w:t xml:space="preserve">Ευρωπαϊκής </w:t>
      </w:r>
      <w:r w:rsidRPr="0067647C">
        <w:rPr>
          <w:rFonts w:ascii="Verdana" w:hAnsi="Verdana" w:cs="Calibri"/>
          <w:color w:val="auto"/>
          <w:sz w:val="22"/>
          <w:szCs w:val="22"/>
        </w:rPr>
        <w:t xml:space="preserve">Ενεργειακής </w:t>
      </w:r>
      <w:r w:rsidR="00A53DD7" w:rsidRPr="0067647C">
        <w:rPr>
          <w:rFonts w:ascii="Verdana" w:hAnsi="Verdana" w:cs="Calibri"/>
          <w:color w:val="auto"/>
          <w:sz w:val="22"/>
          <w:szCs w:val="22"/>
        </w:rPr>
        <w:t>Ένωσης</w:t>
      </w:r>
      <w:r w:rsidRPr="0067647C">
        <w:rPr>
          <w:rFonts w:ascii="Verdana" w:hAnsi="Verdana" w:cs="Calibri"/>
          <w:color w:val="auto"/>
          <w:sz w:val="22"/>
          <w:szCs w:val="22"/>
        </w:rPr>
        <w:t>:</w:t>
      </w:r>
    </w:p>
    <w:p w:rsidR="00B57B20" w:rsidRPr="0067647C" w:rsidRDefault="00B57B20" w:rsidP="0067647C">
      <w:pPr>
        <w:pStyle w:val="Default"/>
        <w:numPr>
          <w:ilvl w:val="0"/>
          <w:numId w:val="5"/>
        </w:numPr>
        <w:spacing w:before="120" w:after="120" w:line="312" w:lineRule="auto"/>
        <w:jc w:val="both"/>
        <w:rPr>
          <w:rFonts w:ascii="Verdana" w:hAnsi="Verdana" w:cs="Calibri"/>
          <w:b/>
          <w:color w:val="auto"/>
          <w:sz w:val="22"/>
          <w:szCs w:val="22"/>
        </w:rPr>
      </w:pPr>
      <w:r w:rsidRPr="0067647C">
        <w:rPr>
          <w:rFonts w:ascii="Verdana" w:hAnsi="Verdana" w:cs="Calibri"/>
          <w:b/>
          <w:color w:val="auto"/>
          <w:sz w:val="22"/>
          <w:szCs w:val="22"/>
        </w:rPr>
        <w:t>Κλιματική Αλλαγή και Εκπομπές Αερίων του Θερμοκηπίου</w:t>
      </w:r>
    </w:p>
    <w:p w:rsidR="00B57B20" w:rsidRPr="0067647C" w:rsidRDefault="00B57B20" w:rsidP="0067647C">
      <w:pPr>
        <w:pStyle w:val="Default"/>
        <w:numPr>
          <w:ilvl w:val="0"/>
          <w:numId w:val="5"/>
        </w:numPr>
        <w:spacing w:before="120" w:after="120" w:line="312" w:lineRule="auto"/>
        <w:jc w:val="both"/>
        <w:rPr>
          <w:rFonts w:ascii="Verdana" w:hAnsi="Verdana" w:cs="Calibri"/>
          <w:b/>
          <w:color w:val="auto"/>
          <w:sz w:val="22"/>
          <w:szCs w:val="22"/>
        </w:rPr>
      </w:pPr>
      <w:r w:rsidRPr="0067647C">
        <w:rPr>
          <w:rFonts w:ascii="Verdana" w:hAnsi="Verdana" w:cs="Calibri"/>
          <w:b/>
          <w:color w:val="auto"/>
          <w:sz w:val="22"/>
          <w:szCs w:val="22"/>
        </w:rPr>
        <w:t>Ανανεώσιμες Πηγές Ενέργειας</w:t>
      </w:r>
    </w:p>
    <w:p w:rsidR="00B57B20" w:rsidRPr="0067647C" w:rsidRDefault="00B57B20" w:rsidP="0067647C">
      <w:pPr>
        <w:pStyle w:val="Default"/>
        <w:numPr>
          <w:ilvl w:val="0"/>
          <w:numId w:val="5"/>
        </w:numPr>
        <w:spacing w:before="120" w:after="120" w:line="312" w:lineRule="auto"/>
        <w:jc w:val="both"/>
        <w:rPr>
          <w:rFonts w:ascii="Verdana" w:hAnsi="Verdana" w:cs="Calibri"/>
          <w:b/>
          <w:color w:val="auto"/>
          <w:sz w:val="22"/>
          <w:szCs w:val="22"/>
        </w:rPr>
      </w:pPr>
      <w:r w:rsidRPr="0067647C">
        <w:rPr>
          <w:rFonts w:ascii="Verdana" w:hAnsi="Verdana" w:cs="Calibri"/>
          <w:b/>
          <w:color w:val="auto"/>
          <w:sz w:val="22"/>
          <w:szCs w:val="22"/>
        </w:rPr>
        <w:t>Βελτίωση Ενεργειακής Απόδοσης</w:t>
      </w:r>
    </w:p>
    <w:p w:rsidR="00B57B20" w:rsidRPr="0067647C" w:rsidRDefault="00B57B20" w:rsidP="0067647C">
      <w:pPr>
        <w:pStyle w:val="Default"/>
        <w:numPr>
          <w:ilvl w:val="0"/>
          <w:numId w:val="5"/>
        </w:numPr>
        <w:spacing w:before="120" w:after="120" w:line="312" w:lineRule="auto"/>
        <w:jc w:val="both"/>
        <w:rPr>
          <w:rFonts w:ascii="Verdana" w:hAnsi="Verdana" w:cs="Calibri"/>
          <w:b/>
          <w:color w:val="auto"/>
          <w:sz w:val="22"/>
          <w:szCs w:val="22"/>
        </w:rPr>
      </w:pPr>
      <w:r w:rsidRPr="0067647C">
        <w:rPr>
          <w:rFonts w:ascii="Verdana" w:hAnsi="Verdana" w:cs="Calibri"/>
          <w:b/>
          <w:color w:val="auto"/>
          <w:sz w:val="22"/>
          <w:szCs w:val="22"/>
        </w:rPr>
        <w:t>Ασφάλεια Ενεργειακού Εφοδιασμού</w:t>
      </w:r>
    </w:p>
    <w:p w:rsidR="00B57B20" w:rsidRPr="0067647C" w:rsidRDefault="00B57B20" w:rsidP="0067647C">
      <w:pPr>
        <w:pStyle w:val="Default"/>
        <w:numPr>
          <w:ilvl w:val="0"/>
          <w:numId w:val="5"/>
        </w:numPr>
        <w:spacing w:before="120" w:after="120" w:line="312" w:lineRule="auto"/>
        <w:jc w:val="both"/>
        <w:rPr>
          <w:rFonts w:ascii="Verdana" w:hAnsi="Verdana" w:cs="Calibri"/>
          <w:b/>
          <w:color w:val="auto"/>
          <w:sz w:val="22"/>
          <w:szCs w:val="22"/>
        </w:rPr>
      </w:pPr>
      <w:r w:rsidRPr="0067647C">
        <w:rPr>
          <w:rFonts w:ascii="Verdana" w:hAnsi="Verdana" w:cs="Calibri"/>
          <w:b/>
          <w:color w:val="auto"/>
          <w:sz w:val="22"/>
          <w:szCs w:val="22"/>
        </w:rPr>
        <w:t>Αγορά Ενέργειας</w:t>
      </w:r>
    </w:p>
    <w:p w:rsidR="00B57B20" w:rsidRPr="0067647C" w:rsidRDefault="00A53DD7" w:rsidP="0067647C">
      <w:pPr>
        <w:pStyle w:val="Default"/>
        <w:numPr>
          <w:ilvl w:val="0"/>
          <w:numId w:val="5"/>
        </w:numPr>
        <w:spacing w:before="120" w:after="120" w:line="312" w:lineRule="auto"/>
        <w:jc w:val="both"/>
        <w:rPr>
          <w:rFonts w:ascii="Verdana" w:hAnsi="Verdana" w:cs="Calibri"/>
          <w:b/>
          <w:color w:val="auto"/>
          <w:sz w:val="22"/>
          <w:szCs w:val="22"/>
        </w:rPr>
      </w:pPr>
      <w:r w:rsidRPr="0067647C">
        <w:rPr>
          <w:rFonts w:ascii="Verdana" w:hAnsi="Verdana" w:cs="Calibri"/>
          <w:b/>
          <w:color w:val="auto"/>
          <w:sz w:val="22"/>
          <w:szCs w:val="22"/>
        </w:rPr>
        <w:t>Έρευνα</w:t>
      </w:r>
      <w:r w:rsidR="00B57B20" w:rsidRPr="0067647C">
        <w:rPr>
          <w:rFonts w:ascii="Verdana" w:hAnsi="Verdana" w:cs="Calibri"/>
          <w:b/>
          <w:color w:val="auto"/>
          <w:sz w:val="22"/>
          <w:szCs w:val="22"/>
        </w:rPr>
        <w:t xml:space="preserve">, Καινοτομία και Ανταγωνιστικότητα </w:t>
      </w:r>
    </w:p>
    <w:p w:rsidR="00B57B20" w:rsidRPr="0067647C" w:rsidRDefault="00B57B20" w:rsidP="0067647C">
      <w:pPr>
        <w:pStyle w:val="Default"/>
        <w:spacing w:before="120" w:after="120" w:line="312" w:lineRule="auto"/>
        <w:jc w:val="both"/>
        <w:rPr>
          <w:rFonts w:ascii="Verdana" w:hAnsi="Verdana" w:cs="Calibri"/>
          <w:color w:val="auto"/>
          <w:sz w:val="22"/>
          <w:szCs w:val="22"/>
        </w:rPr>
      </w:pPr>
      <w:r w:rsidRPr="0067647C">
        <w:rPr>
          <w:rFonts w:ascii="Verdana" w:hAnsi="Verdana" w:cs="Calibri"/>
          <w:color w:val="auto"/>
          <w:sz w:val="22"/>
          <w:szCs w:val="22"/>
        </w:rPr>
        <w:t>Και επιπρόσθετα τον Αγροτικό Τομέα, τη Ναυτιλία και τον Τουρισμό</w:t>
      </w:r>
    </w:p>
    <w:p w:rsidR="00DC5AB1" w:rsidRPr="0067647C" w:rsidRDefault="00DC5AB1" w:rsidP="0067647C">
      <w:pPr>
        <w:pStyle w:val="Default"/>
        <w:spacing w:before="120" w:after="120" w:line="312" w:lineRule="auto"/>
        <w:jc w:val="both"/>
        <w:rPr>
          <w:rFonts w:ascii="Verdana" w:hAnsi="Verdana" w:cs="Calibri"/>
          <w:color w:val="auto"/>
          <w:sz w:val="22"/>
          <w:szCs w:val="22"/>
        </w:rPr>
      </w:pPr>
      <w:r w:rsidRPr="0067647C">
        <w:rPr>
          <w:rFonts w:ascii="Verdana" w:hAnsi="Verdana" w:cs="Calibri"/>
          <w:color w:val="auto"/>
          <w:sz w:val="22"/>
          <w:szCs w:val="22"/>
        </w:rPr>
        <w:lastRenderedPageBreak/>
        <w:t xml:space="preserve">Οι </w:t>
      </w:r>
      <w:r w:rsidRPr="0067647C">
        <w:rPr>
          <w:rFonts w:ascii="Verdana" w:hAnsi="Verdana" w:cs="Calibri"/>
          <w:b/>
          <w:color w:val="auto"/>
          <w:sz w:val="22"/>
          <w:szCs w:val="22"/>
        </w:rPr>
        <w:t>κύρ</w:t>
      </w:r>
      <w:r w:rsidR="0067647C" w:rsidRPr="0067647C">
        <w:rPr>
          <w:rFonts w:ascii="Verdana" w:hAnsi="Verdana" w:cs="Calibri"/>
          <w:b/>
          <w:color w:val="auto"/>
          <w:sz w:val="22"/>
          <w:szCs w:val="22"/>
        </w:rPr>
        <w:t>ιοι ενεργειακοί και κλιματικοί σ</w:t>
      </w:r>
      <w:r w:rsidRPr="0067647C">
        <w:rPr>
          <w:rFonts w:ascii="Verdana" w:hAnsi="Verdana" w:cs="Calibri"/>
          <w:b/>
          <w:color w:val="auto"/>
          <w:sz w:val="22"/>
          <w:szCs w:val="22"/>
        </w:rPr>
        <w:t>τόχοι και προτεραιότητες</w:t>
      </w:r>
      <w:r w:rsidRPr="0067647C">
        <w:rPr>
          <w:rFonts w:ascii="Verdana" w:hAnsi="Verdana" w:cs="Calibri"/>
          <w:color w:val="auto"/>
          <w:sz w:val="22"/>
          <w:szCs w:val="22"/>
        </w:rPr>
        <w:t xml:space="preserve">, </w:t>
      </w:r>
      <w:r w:rsidR="0067647C">
        <w:rPr>
          <w:rFonts w:ascii="Verdana" w:hAnsi="Verdana" w:cs="Calibri"/>
          <w:color w:val="auto"/>
          <w:sz w:val="22"/>
          <w:szCs w:val="22"/>
        </w:rPr>
        <w:t xml:space="preserve">που ελήφθησαν </w:t>
      </w:r>
      <w:r w:rsidRPr="0067647C">
        <w:rPr>
          <w:rFonts w:ascii="Verdana" w:hAnsi="Verdana" w:cs="Calibri"/>
          <w:color w:val="auto"/>
          <w:sz w:val="22"/>
          <w:szCs w:val="22"/>
        </w:rPr>
        <w:t>υπόψη κατά την εκπόνηση και την υλοποίηση του ΕΣΕΚ είναι οι εξής:</w:t>
      </w:r>
    </w:p>
    <w:p w:rsidR="00DC5AB1" w:rsidRPr="0067647C" w:rsidRDefault="00DC5AB1" w:rsidP="0067647C">
      <w:pPr>
        <w:pStyle w:val="Default"/>
        <w:numPr>
          <w:ilvl w:val="0"/>
          <w:numId w:val="4"/>
        </w:numPr>
        <w:spacing w:before="120" w:after="120" w:line="312" w:lineRule="auto"/>
        <w:jc w:val="both"/>
        <w:rPr>
          <w:rFonts w:ascii="Verdana" w:hAnsi="Verdana" w:cs="Calibri"/>
          <w:color w:val="auto"/>
          <w:sz w:val="22"/>
          <w:szCs w:val="22"/>
        </w:rPr>
      </w:pPr>
      <w:r w:rsidRPr="0067647C">
        <w:rPr>
          <w:rFonts w:ascii="Verdana" w:hAnsi="Verdana" w:cs="Calibri"/>
          <w:sz w:val="22"/>
          <w:szCs w:val="22"/>
        </w:rPr>
        <w:t>Η δημιουργία ενός ολοκληρωμένου μοντέλου βιώσιμης ανάπτυξης σε όλους τους κλάδους της οικονομίας</w:t>
      </w:r>
    </w:p>
    <w:p w:rsidR="00DC5AB1" w:rsidRPr="0067647C" w:rsidRDefault="00DC5AB1" w:rsidP="0067647C">
      <w:pPr>
        <w:pStyle w:val="Default"/>
        <w:numPr>
          <w:ilvl w:val="0"/>
          <w:numId w:val="4"/>
        </w:numPr>
        <w:spacing w:before="120" w:after="120" w:line="312" w:lineRule="auto"/>
        <w:jc w:val="both"/>
        <w:rPr>
          <w:rFonts w:ascii="Verdana" w:hAnsi="Verdana" w:cs="Calibri"/>
          <w:color w:val="auto"/>
          <w:sz w:val="22"/>
          <w:szCs w:val="22"/>
        </w:rPr>
      </w:pPr>
      <w:r w:rsidRPr="0067647C">
        <w:rPr>
          <w:rFonts w:ascii="Verdana" w:hAnsi="Verdana" w:cs="Calibri"/>
          <w:color w:val="auto"/>
          <w:sz w:val="22"/>
          <w:szCs w:val="22"/>
        </w:rPr>
        <w:t xml:space="preserve">Ο </w:t>
      </w:r>
      <w:r w:rsidRPr="0067647C">
        <w:rPr>
          <w:rFonts w:ascii="Verdana" w:hAnsi="Verdana" w:cs="Calibri"/>
          <w:sz w:val="22"/>
          <w:szCs w:val="22"/>
        </w:rPr>
        <w:t>συνδυασμός της ανάπτυξης του ενεργειακού τομέα με την περιβαλλοντική προστασία μέσω λήψης αποφασιστικών μέτρων για την καταπολέμηση της κλιματικής αλλαγής</w:t>
      </w:r>
    </w:p>
    <w:p w:rsidR="00DC5AB1" w:rsidRPr="0067647C" w:rsidRDefault="00DC5AB1" w:rsidP="0067647C">
      <w:pPr>
        <w:pStyle w:val="Default"/>
        <w:numPr>
          <w:ilvl w:val="0"/>
          <w:numId w:val="4"/>
        </w:numPr>
        <w:spacing w:before="120" w:after="120" w:line="312" w:lineRule="auto"/>
        <w:jc w:val="both"/>
        <w:rPr>
          <w:rFonts w:ascii="Verdana" w:hAnsi="Verdana" w:cs="Calibri"/>
          <w:color w:val="auto"/>
          <w:sz w:val="22"/>
          <w:szCs w:val="22"/>
        </w:rPr>
      </w:pPr>
      <w:r w:rsidRPr="0067647C">
        <w:rPr>
          <w:rFonts w:ascii="Verdana" w:hAnsi="Verdana" w:cs="Calibri"/>
          <w:color w:val="auto"/>
          <w:sz w:val="22"/>
          <w:szCs w:val="22"/>
        </w:rPr>
        <w:t xml:space="preserve">Η επιλογή </w:t>
      </w:r>
      <w:r w:rsidRPr="0067647C">
        <w:rPr>
          <w:rFonts w:ascii="Verdana" w:hAnsi="Verdana" w:cs="Calibri"/>
          <w:sz w:val="22"/>
          <w:szCs w:val="22"/>
        </w:rPr>
        <w:t>πολιτικών με τη βέλτιστη σχέση κόστους-οφέλους για την ενεργειακή μετάβαση</w:t>
      </w:r>
    </w:p>
    <w:p w:rsidR="00DC5AB1" w:rsidRPr="0067647C" w:rsidRDefault="00DC5AB1" w:rsidP="0067647C">
      <w:pPr>
        <w:pStyle w:val="Default"/>
        <w:numPr>
          <w:ilvl w:val="0"/>
          <w:numId w:val="4"/>
        </w:numPr>
        <w:suppressAutoHyphens/>
        <w:autoSpaceDE/>
        <w:autoSpaceDN/>
        <w:adjustRightInd/>
        <w:spacing w:before="120" w:after="120" w:line="312" w:lineRule="auto"/>
        <w:jc w:val="both"/>
        <w:rPr>
          <w:rFonts w:ascii="Verdana" w:hAnsi="Verdana"/>
          <w:sz w:val="22"/>
          <w:szCs w:val="22"/>
        </w:rPr>
      </w:pPr>
      <w:r w:rsidRPr="0067647C">
        <w:rPr>
          <w:rFonts w:ascii="Verdana" w:hAnsi="Verdana" w:cs="Calibri"/>
          <w:sz w:val="22"/>
          <w:szCs w:val="22"/>
        </w:rPr>
        <w:t>Η μετατροπή της Ελλάδας σε ενεργειακό κόμβο με ισχυρή συμβολή στην ενεργειακή ασφάλεια και ασφάλεια εφοδιασμού της ΕΕ</w:t>
      </w:r>
    </w:p>
    <w:p w:rsidR="00EC67AD" w:rsidRPr="0067647C" w:rsidRDefault="00DC5AB1" w:rsidP="0067647C">
      <w:pPr>
        <w:pStyle w:val="Default"/>
        <w:numPr>
          <w:ilvl w:val="0"/>
          <w:numId w:val="4"/>
        </w:numPr>
        <w:suppressAutoHyphens/>
        <w:autoSpaceDE/>
        <w:autoSpaceDN/>
        <w:adjustRightInd/>
        <w:spacing w:before="120" w:after="120" w:line="312" w:lineRule="auto"/>
        <w:jc w:val="both"/>
        <w:rPr>
          <w:rFonts w:ascii="Verdana" w:hAnsi="Verdana"/>
          <w:sz w:val="22"/>
          <w:szCs w:val="22"/>
        </w:rPr>
      </w:pPr>
      <w:r w:rsidRPr="0067647C">
        <w:rPr>
          <w:rFonts w:ascii="Verdana" w:hAnsi="Verdana" w:cs="Calibri"/>
          <w:sz w:val="22"/>
          <w:szCs w:val="22"/>
        </w:rPr>
        <w:t>Η στρατηγική διαφοροποίησης των εισαγωγών ενέργειας, παράλληλα με τον εκσυγχρονισμό και την ανάπτυξη ενεργειακών υποδομών και την άρση της εν</w:t>
      </w:r>
      <w:r w:rsidR="00EC67AD" w:rsidRPr="0067647C">
        <w:rPr>
          <w:rFonts w:ascii="Verdana" w:hAnsi="Verdana" w:cs="Calibri"/>
          <w:sz w:val="22"/>
          <w:szCs w:val="22"/>
        </w:rPr>
        <w:t>εργειακής απομόνωσης των νησιών</w:t>
      </w:r>
    </w:p>
    <w:p w:rsidR="00D07331" w:rsidRPr="0067647C" w:rsidRDefault="00EC67AD" w:rsidP="0067647C">
      <w:pPr>
        <w:pStyle w:val="Default"/>
        <w:numPr>
          <w:ilvl w:val="0"/>
          <w:numId w:val="4"/>
        </w:numPr>
        <w:suppressAutoHyphens/>
        <w:autoSpaceDE/>
        <w:autoSpaceDN/>
        <w:adjustRightInd/>
        <w:spacing w:before="120" w:after="120" w:line="312" w:lineRule="auto"/>
        <w:jc w:val="both"/>
        <w:rPr>
          <w:rFonts w:ascii="Verdana" w:hAnsi="Verdana"/>
          <w:sz w:val="22"/>
          <w:szCs w:val="22"/>
        </w:rPr>
      </w:pPr>
      <w:r w:rsidRPr="0067647C">
        <w:rPr>
          <w:rFonts w:ascii="Verdana" w:hAnsi="Verdana"/>
          <w:sz w:val="22"/>
          <w:szCs w:val="22"/>
        </w:rPr>
        <w:t xml:space="preserve">Η δημιουργία </w:t>
      </w:r>
      <w:r w:rsidR="00DC5AB1" w:rsidRPr="0067647C">
        <w:rPr>
          <w:rFonts w:ascii="Verdana" w:hAnsi="Verdana" w:cs="Calibri"/>
          <w:sz w:val="22"/>
          <w:szCs w:val="22"/>
        </w:rPr>
        <w:t>ελκυστικού επενδυτικού περιβάλλοντος για την υποστήριξη στην ενεργειακή μετάβαση, με έμφαση στην καιν</w:t>
      </w:r>
      <w:r w:rsidRPr="0067647C">
        <w:rPr>
          <w:rFonts w:ascii="Verdana" w:hAnsi="Verdana" w:cs="Calibri"/>
          <w:sz w:val="22"/>
          <w:szCs w:val="22"/>
        </w:rPr>
        <w:t>οτομία και τις νέες τεχνολογίες</w:t>
      </w:r>
    </w:p>
    <w:p w:rsidR="00D07331" w:rsidRPr="0067647C" w:rsidRDefault="00EC67AD" w:rsidP="0067647C">
      <w:pPr>
        <w:pStyle w:val="Default"/>
        <w:numPr>
          <w:ilvl w:val="0"/>
          <w:numId w:val="4"/>
        </w:numPr>
        <w:suppressAutoHyphens/>
        <w:autoSpaceDE/>
        <w:autoSpaceDN/>
        <w:adjustRightInd/>
        <w:spacing w:before="120" w:after="120" w:line="312" w:lineRule="auto"/>
        <w:jc w:val="both"/>
        <w:rPr>
          <w:rFonts w:ascii="Verdana" w:hAnsi="Verdana"/>
          <w:sz w:val="22"/>
          <w:szCs w:val="22"/>
        </w:rPr>
      </w:pPr>
      <w:r w:rsidRPr="0067647C">
        <w:rPr>
          <w:rFonts w:ascii="Verdana" w:hAnsi="Verdana" w:cs="Calibri"/>
          <w:sz w:val="22"/>
          <w:szCs w:val="22"/>
        </w:rPr>
        <w:t xml:space="preserve">Η μέγιστη αξιοποίηση </w:t>
      </w:r>
      <w:r w:rsidR="00DC5AB1" w:rsidRPr="0067647C">
        <w:rPr>
          <w:rFonts w:ascii="Verdana" w:hAnsi="Verdana" w:cs="Calibri"/>
          <w:sz w:val="22"/>
          <w:szCs w:val="22"/>
        </w:rPr>
        <w:t>κοινοτικών πόρων και μηχανισμών και</w:t>
      </w:r>
    </w:p>
    <w:p w:rsidR="00DC5AB1" w:rsidRPr="0067647C" w:rsidRDefault="00EC67AD" w:rsidP="0067647C">
      <w:pPr>
        <w:pStyle w:val="Default"/>
        <w:numPr>
          <w:ilvl w:val="0"/>
          <w:numId w:val="4"/>
        </w:numPr>
        <w:suppressAutoHyphens/>
        <w:autoSpaceDE/>
        <w:autoSpaceDN/>
        <w:adjustRightInd/>
        <w:spacing w:before="120" w:after="120" w:line="312" w:lineRule="auto"/>
        <w:jc w:val="both"/>
        <w:rPr>
          <w:rFonts w:ascii="Verdana" w:hAnsi="Verdana"/>
          <w:sz w:val="22"/>
          <w:szCs w:val="22"/>
        </w:rPr>
      </w:pPr>
      <w:r w:rsidRPr="0067647C">
        <w:rPr>
          <w:rFonts w:ascii="Verdana" w:hAnsi="Verdana" w:cs="Calibri"/>
          <w:sz w:val="22"/>
          <w:szCs w:val="22"/>
        </w:rPr>
        <w:t xml:space="preserve">Η ενίσχυση της </w:t>
      </w:r>
      <w:r w:rsidR="00DC5AB1" w:rsidRPr="0067647C">
        <w:rPr>
          <w:rFonts w:ascii="Verdana" w:hAnsi="Verdana" w:cs="Calibri"/>
          <w:sz w:val="22"/>
          <w:szCs w:val="22"/>
        </w:rPr>
        <w:t>εξωστρέφειας και</w:t>
      </w:r>
      <w:r w:rsidRPr="0067647C">
        <w:rPr>
          <w:rFonts w:ascii="Verdana" w:hAnsi="Verdana" w:cs="Calibri"/>
          <w:sz w:val="22"/>
          <w:szCs w:val="22"/>
        </w:rPr>
        <w:t xml:space="preserve"> της </w:t>
      </w:r>
      <w:r w:rsidR="00DC5AB1" w:rsidRPr="0067647C">
        <w:rPr>
          <w:rFonts w:ascii="Verdana" w:hAnsi="Verdana" w:cs="Calibri"/>
          <w:sz w:val="22"/>
          <w:szCs w:val="22"/>
        </w:rPr>
        <w:t xml:space="preserve"> καινοτομίας για να επιτευχθεί ανάπτυξη που θα δημιουργήσει νέες θέσεις εργασίας.</w:t>
      </w:r>
    </w:p>
    <w:p w:rsidR="00D07331" w:rsidRPr="0067647C" w:rsidRDefault="00D07331" w:rsidP="0067647C">
      <w:pPr>
        <w:spacing w:line="312" w:lineRule="auto"/>
        <w:ind w:left="360"/>
        <w:rPr>
          <w:rFonts w:ascii="Verdana" w:hAnsi="Verdana"/>
          <w:b/>
        </w:rPr>
      </w:pPr>
    </w:p>
    <w:p w:rsidR="00D07331" w:rsidRPr="00AF08DD" w:rsidRDefault="00E7506F" w:rsidP="0067647C">
      <w:pPr>
        <w:spacing w:line="312" w:lineRule="auto"/>
        <w:jc w:val="both"/>
        <w:rPr>
          <w:rFonts w:ascii="Verdana" w:hAnsi="Verdana"/>
        </w:rPr>
      </w:pPr>
      <w:r w:rsidRPr="00AF08DD">
        <w:rPr>
          <w:rFonts w:ascii="Verdana" w:hAnsi="Verdana"/>
        </w:rPr>
        <w:t xml:space="preserve">Εκτιμάται ότι μόνο </w:t>
      </w:r>
      <w:r w:rsidR="00D07331" w:rsidRPr="00AF08DD">
        <w:rPr>
          <w:rFonts w:ascii="Verdana" w:hAnsi="Verdana"/>
        </w:rPr>
        <w:t xml:space="preserve">από </w:t>
      </w:r>
      <w:r w:rsidR="00D07331" w:rsidRPr="00AF08DD">
        <w:rPr>
          <w:rFonts w:ascii="Verdana" w:hAnsi="Verdana"/>
          <w:b/>
        </w:rPr>
        <w:t xml:space="preserve">την υλοποίηση των μέτρων και πολιτικών για τις ΑΠΕ και την </w:t>
      </w:r>
      <w:r w:rsidR="00AF08DD" w:rsidRPr="00AF08DD">
        <w:rPr>
          <w:rFonts w:ascii="Verdana" w:hAnsi="Verdana"/>
          <w:b/>
        </w:rPr>
        <w:t>ε</w:t>
      </w:r>
      <w:r w:rsidRPr="00AF08DD">
        <w:rPr>
          <w:rFonts w:ascii="Verdana" w:hAnsi="Verdana"/>
          <w:b/>
        </w:rPr>
        <w:t xml:space="preserve">νεργειακή αναβάθμιση κτιρίων </w:t>
      </w:r>
      <w:r w:rsidR="00D07331" w:rsidRPr="00AF08DD">
        <w:rPr>
          <w:rFonts w:ascii="Verdana" w:hAnsi="Verdana"/>
          <w:b/>
        </w:rPr>
        <w:t>μπορούν να δημιουργηθούν και να διατηρηθούν πάνω από 60.000 θέσεις εργασίας έως το 2030</w:t>
      </w:r>
      <w:r w:rsidR="00D07331" w:rsidRPr="00AF08DD">
        <w:rPr>
          <w:rFonts w:ascii="Verdana" w:hAnsi="Verdana"/>
        </w:rPr>
        <w:t>. Το εισόδημα των εργαζομένων που σχετίζονται με τους κλάδους αυτούς</w:t>
      </w:r>
      <w:r w:rsidRPr="00AF08DD">
        <w:rPr>
          <w:rFonts w:ascii="Verdana" w:hAnsi="Verdana"/>
        </w:rPr>
        <w:t xml:space="preserve"> υπολογίζεται ότι μπορεί να εμφανίσει δυνητική </w:t>
      </w:r>
      <w:r w:rsidR="005916B5" w:rsidRPr="00AF08DD">
        <w:rPr>
          <w:rFonts w:ascii="Verdana" w:hAnsi="Verdana"/>
        </w:rPr>
        <w:t>αύξηση 8,2 δισ</w:t>
      </w:r>
      <w:r w:rsidRPr="00AF08DD">
        <w:rPr>
          <w:rFonts w:ascii="Verdana" w:hAnsi="Verdana"/>
        </w:rPr>
        <w:t xml:space="preserve">. ευρώ και η </w:t>
      </w:r>
      <w:r w:rsidRPr="00AF08DD">
        <w:rPr>
          <w:rFonts w:ascii="Verdana" w:hAnsi="Verdana"/>
          <w:b/>
        </w:rPr>
        <w:t>εγχώρια προστιθέμενη αξία στους δυο αυτούς κλάδους να ενισχυθεί κατά 20,7 δις. ευρώ.</w:t>
      </w:r>
      <w:r w:rsidR="0067647C" w:rsidRPr="00AF08DD">
        <w:rPr>
          <w:rFonts w:ascii="Verdana" w:hAnsi="Verdana"/>
        </w:rPr>
        <w:t xml:space="preserve">  </w:t>
      </w:r>
    </w:p>
    <w:p w:rsidR="00E06DAC" w:rsidRDefault="0067647C" w:rsidP="00E06DAC">
      <w:pPr>
        <w:spacing w:line="312" w:lineRule="auto"/>
        <w:jc w:val="both"/>
        <w:rPr>
          <w:rFonts w:ascii="Verdana" w:hAnsi="Verdana"/>
          <w:lang w:val="en-US"/>
        </w:rPr>
      </w:pPr>
      <w:r>
        <w:rPr>
          <w:rFonts w:ascii="Verdana" w:hAnsi="Verdana"/>
          <w:b/>
        </w:rPr>
        <w:t xml:space="preserve">Η δε επίτευξη </w:t>
      </w:r>
      <w:r w:rsidR="00AF08DD">
        <w:rPr>
          <w:rFonts w:ascii="Verdana" w:hAnsi="Verdana"/>
          <w:b/>
        </w:rPr>
        <w:t xml:space="preserve">των στόχων σε όλους τους πυλώνες του ΕΣΕΚ θα κινητοποιήσουν επενδύσεις, εκτιμώμενου ύψους 44 δις. ευρώ για την επόμενη δεκαετία.  </w:t>
      </w:r>
      <w:r w:rsidR="00AF08DD" w:rsidRPr="00AF08DD">
        <w:rPr>
          <w:rFonts w:ascii="Verdana" w:hAnsi="Verdana"/>
        </w:rPr>
        <w:t>Στο επίκεντρο της επενδυτικής δραστηριότητας αναμένεται να βρεθούν τα  ηλε</w:t>
      </w:r>
      <w:r w:rsidR="00AF08DD">
        <w:rPr>
          <w:rFonts w:ascii="Verdana" w:hAnsi="Verdana"/>
        </w:rPr>
        <w:t xml:space="preserve">κτροπαραγωγή από ΑΠΕ , </w:t>
      </w:r>
      <w:r w:rsidR="00AF08DD" w:rsidRPr="00AF08DD">
        <w:rPr>
          <w:rFonts w:ascii="Verdana" w:hAnsi="Verdana"/>
        </w:rPr>
        <w:t>οι νέες υποδομέ</w:t>
      </w:r>
      <w:r w:rsidR="00AF08DD">
        <w:rPr>
          <w:rFonts w:ascii="Verdana" w:hAnsi="Verdana"/>
        </w:rPr>
        <w:t xml:space="preserve">ς στα δίκτυα ηλεκτρισμού, </w:t>
      </w:r>
      <w:r w:rsidR="00B9273D">
        <w:rPr>
          <w:rFonts w:ascii="Verdana" w:hAnsi="Verdana"/>
        </w:rPr>
        <w:t>τα μέτρα ενεργειακής απόδοσης και οι δράσεις ανακύκλωσης και κυκλικής οικονομίας.</w:t>
      </w:r>
    </w:p>
    <w:p w:rsidR="00162560" w:rsidRPr="00E06DAC" w:rsidRDefault="00162560" w:rsidP="00E06DAC">
      <w:pPr>
        <w:spacing w:line="312" w:lineRule="auto"/>
        <w:jc w:val="both"/>
        <w:rPr>
          <w:rFonts w:ascii="Verdana" w:hAnsi="Verdana"/>
        </w:rPr>
      </w:pPr>
      <w:proofErr w:type="spellStart"/>
      <w:r w:rsidRPr="0067647C">
        <w:rPr>
          <w:rFonts w:ascii="Verdana" w:hAnsi="Verdana"/>
          <w:bCs/>
        </w:rPr>
        <w:lastRenderedPageBreak/>
        <w:t>To</w:t>
      </w:r>
      <w:proofErr w:type="spellEnd"/>
      <w:r w:rsidRPr="0067647C">
        <w:rPr>
          <w:rFonts w:ascii="Verdana" w:hAnsi="Verdana"/>
          <w:bCs/>
        </w:rPr>
        <w:t xml:space="preserve"> αναθεωρημένο ΕΣΕΚ καθορίζει πιο φιλόδοξους εθνικούς Στόχους για επίτευξη των επιδιώξεων της Ενεργειακής Ένωσης της ΕΕ έως το 2030, τόσο σε σχέση με το αρχικό σχέδιο ΕΣΕΚ του Ιανουαρίου που είχε σταλεί για αξιολόγηση προς τις υπηρεσίες της ΕΕ, όσο και από τους κεντρικούς Ευρωπαϊκούς στόχους που έχουν τεθεί στο πλαίσιο της Ενεργειακής Ένωσης.</w:t>
      </w:r>
    </w:p>
    <w:p w:rsidR="00162560" w:rsidRPr="0067647C" w:rsidRDefault="00162560" w:rsidP="0067647C">
      <w:pPr>
        <w:tabs>
          <w:tab w:val="left" w:pos="3300"/>
        </w:tabs>
        <w:spacing w:line="312" w:lineRule="auto"/>
        <w:rPr>
          <w:rFonts w:ascii="Verdana" w:hAnsi="Verdana"/>
        </w:rPr>
      </w:pPr>
      <w:r w:rsidRPr="0067647C">
        <w:rPr>
          <w:rFonts w:ascii="Verdana" w:hAnsi="Verdana"/>
          <w:bCs/>
        </w:rPr>
        <w:t xml:space="preserve">Πιο συγκεκριμένα: </w:t>
      </w:r>
    </w:p>
    <w:p w:rsidR="002A38EC" w:rsidRPr="0067647C" w:rsidRDefault="00162560" w:rsidP="0067647C">
      <w:pPr>
        <w:numPr>
          <w:ilvl w:val="0"/>
          <w:numId w:val="2"/>
        </w:numPr>
        <w:tabs>
          <w:tab w:val="left" w:pos="3300"/>
        </w:tabs>
        <w:spacing w:line="312" w:lineRule="auto"/>
        <w:jc w:val="both"/>
        <w:rPr>
          <w:rFonts w:ascii="Verdana" w:hAnsi="Verdana"/>
        </w:rPr>
      </w:pPr>
      <w:r w:rsidRPr="0067647C">
        <w:rPr>
          <w:rFonts w:ascii="Verdana" w:hAnsi="Verdana"/>
          <w:bCs/>
        </w:rPr>
        <w:t>Θ</w:t>
      </w:r>
      <w:r w:rsidR="000B58B4" w:rsidRPr="0067647C">
        <w:rPr>
          <w:rFonts w:ascii="Verdana" w:hAnsi="Verdana"/>
          <w:bCs/>
        </w:rPr>
        <w:t>έτει υψηλότερο στόχο μείωσης εκπομπών αερίων του θερμοκηπίου, για να γίνει δυνατή η μετάβαση σε μια οικονομία κλιματικής ουδετερότητας έως το έτος 2050</w:t>
      </w:r>
    </w:p>
    <w:p w:rsidR="00162560" w:rsidRPr="0067647C" w:rsidRDefault="00162560" w:rsidP="0067647C">
      <w:pPr>
        <w:numPr>
          <w:ilvl w:val="0"/>
          <w:numId w:val="2"/>
        </w:numPr>
        <w:tabs>
          <w:tab w:val="left" w:pos="3300"/>
        </w:tabs>
        <w:spacing w:line="312" w:lineRule="auto"/>
        <w:jc w:val="both"/>
        <w:rPr>
          <w:rFonts w:ascii="Verdana" w:hAnsi="Verdana"/>
        </w:rPr>
      </w:pPr>
      <w:r w:rsidRPr="0067647C">
        <w:rPr>
          <w:rFonts w:ascii="Verdana" w:hAnsi="Verdana"/>
          <w:bCs/>
        </w:rPr>
        <w:t xml:space="preserve">Δρομολογεί τη δέσμευση για την </w:t>
      </w:r>
      <w:proofErr w:type="spellStart"/>
      <w:r w:rsidRPr="0067647C">
        <w:rPr>
          <w:rFonts w:ascii="Verdana" w:hAnsi="Verdana"/>
          <w:bCs/>
        </w:rPr>
        <w:t>απολιγνιτοποίηση</w:t>
      </w:r>
      <w:proofErr w:type="spellEnd"/>
      <w:r w:rsidRPr="0067647C">
        <w:rPr>
          <w:rFonts w:ascii="Verdana" w:hAnsi="Verdana"/>
          <w:bCs/>
        </w:rPr>
        <w:t xml:space="preserve"> του τομέα της ηλεκτροπαραγωγής, οδηγώντας σε ριζικό μετασχηματισμό τον ενεργειακό τομέα</w:t>
      </w:r>
    </w:p>
    <w:p w:rsidR="002A38EC" w:rsidRPr="0067647C" w:rsidRDefault="00162560" w:rsidP="0067647C">
      <w:pPr>
        <w:numPr>
          <w:ilvl w:val="0"/>
          <w:numId w:val="2"/>
        </w:numPr>
        <w:tabs>
          <w:tab w:val="left" w:pos="3300"/>
        </w:tabs>
        <w:spacing w:line="312" w:lineRule="auto"/>
        <w:jc w:val="both"/>
        <w:rPr>
          <w:rFonts w:ascii="Verdana" w:hAnsi="Verdana"/>
        </w:rPr>
      </w:pPr>
      <w:r w:rsidRPr="0067647C">
        <w:rPr>
          <w:rFonts w:ascii="Verdana" w:hAnsi="Verdana"/>
          <w:bCs/>
        </w:rPr>
        <w:t>Α</w:t>
      </w:r>
      <w:r w:rsidR="000B58B4" w:rsidRPr="0067647C">
        <w:rPr>
          <w:rFonts w:ascii="Verdana" w:hAnsi="Verdana"/>
          <w:bCs/>
        </w:rPr>
        <w:t xml:space="preserve">υξάνει τη διείσδυση των ΑΠΕ στην ακαθάριστη τελική κατανάλωση ενέργειας </w:t>
      </w:r>
    </w:p>
    <w:p w:rsidR="002A38EC" w:rsidRPr="0067647C" w:rsidRDefault="00162560" w:rsidP="0067647C">
      <w:pPr>
        <w:numPr>
          <w:ilvl w:val="0"/>
          <w:numId w:val="2"/>
        </w:numPr>
        <w:tabs>
          <w:tab w:val="left" w:pos="3300"/>
        </w:tabs>
        <w:spacing w:line="312" w:lineRule="auto"/>
        <w:jc w:val="both"/>
        <w:rPr>
          <w:rFonts w:ascii="Verdana" w:hAnsi="Verdana"/>
        </w:rPr>
      </w:pPr>
      <w:r w:rsidRPr="0067647C">
        <w:rPr>
          <w:rFonts w:ascii="Verdana" w:hAnsi="Verdana"/>
          <w:bCs/>
        </w:rPr>
        <w:t>Ε</w:t>
      </w:r>
      <w:r w:rsidR="000B58B4" w:rsidRPr="0067647C">
        <w:rPr>
          <w:rFonts w:ascii="Verdana" w:hAnsi="Verdana"/>
          <w:bCs/>
        </w:rPr>
        <w:t xml:space="preserve">νισχύει τη βελτίωση της ενεργειακής απόδοσης θέτοντας πιο φιλόδοξο στόχο εξοικονόμησης ενέργειας </w:t>
      </w:r>
    </w:p>
    <w:p w:rsidR="002A38EC" w:rsidRPr="0067647C" w:rsidRDefault="00162560" w:rsidP="0067647C">
      <w:pPr>
        <w:numPr>
          <w:ilvl w:val="0"/>
          <w:numId w:val="2"/>
        </w:numPr>
        <w:tabs>
          <w:tab w:val="left" w:pos="3300"/>
        </w:tabs>
        <w:spacing w:line="312" w:lineRule="auto"/>
        <w:jc w:val="both"/>
        <w:rPr>
          <w:rFonts w:ascii="Verdana" w:hAnsi="Verdana"/>
        </w:rPr>
      </w:pPr>
      <w:r w:rsidRPr="0067647C">
        <w:rPr>
          <w:rFonts w:ascii="Verdana" w:hAnsi="Verdana"/>
          <w:bCs/>
        </w:rPr>
        <w:t>Ε</w:t>
      </w:r>
      <w:r w:rsidR="000B58B4" w:rsidRPr="0067647C">
        <w:rPr>
          <w:rFonts w:ascii="Verdana" w:hAnsi="Verdana"/>
          <w:bCs/>
        </w:rPr>
        <w:t>στιάζει στη λειτουργία απελευθερωμένων και ανταγωνιστικών εγχώριων ενεργειακών αγορών</w:t>
      </w:r>
    </w:p>
    <w:p w:rsidR="005916B5" w:rsidRDefault="00162560" w:rsidP="0067647C">
      <w:pPr>
        <w:numPr>
          <w:ilvl w:val="0"/>
          <w:numId w:val="2"/>
        </w:numPr>
        <w:tabs>
          <w:tab w:val="left" w:pos="3300"/>
        </w:tabs>
        <w:spacing w:line="312" w:lineRule="auto"/>
        <w:jc w:val="both"/>
        <w:rPr>
          <w:rFonts w:ascii="Verdana" w:hAnsi="Verdana"/>
        </w:rPr>
      </w:pPr>
      <w:r w:rsidRPr="0067647C">
        <w:rPr>
          <w:rFonts w:ascii="Verdana" w:hAnsi="Verdana"/>
          <w:bCs/>
        </w:rPr>
        <w:t>Ε</w:t>
      </w:r>
      <w:r w:rsidR="000B58B4" w:rsidRPr="0067647C">
        <w:rPr>
          <w:rFonts w:ascii="Verdana" w:hAnsi="Verdana"/>
          <w:bCs/>
        </w:rPr>
        <w:t>νισχύει τον περιφερειακό ενεργειακό ρόλο της χώρας και επιταχύνει την ολοκλήρωση των ενεργειακών υποδομών</w:t>
      </w:r>
    </w:p>
    <w:p w:rsidR="00EC67AD" w:rsidRPr="005916B5" w:rsidRDefault="00EC67AD" w:rsidP="005916B5">
      <w:pPr>
        <w:tabs>
          <w:tab w:val="left" w:pos="3300"/>
        </w:tabs>
        <w:spacing w:line="312" w:lineRule="auto"/>
        <w:jc w:val="both"/>
        <w:rPr>
          <w:rFonts w:ascii="Verdana" w:hAnsi="Verdana"/>
        </w:rPr>
      </w:pPr>
      <w:r w:rsidRPr="005916B5">
        <w:rPr>
          <w:rFonts w:ascii="Verdana" w:hAnsi="Verdana"/>
        </w:rPr>
        <w:t>Στον παρακάτω πίνακα περιγράφονται συνοπτικά οι νέοι, πιο φιλόδοξοι στόχοι του αναθεωρημένου ΕΣΕΚ σε σχέση τόσο με το αρχικό σχέδιο, όσου και τους στόχους της Ευρωπαϊκής Ένωσης.</w:t>
      </w:r>
    </w:p>
    <w:p w:rsidR="00162560" w:rsidRDefault="00162560" w:rsidP="00162560">
      <w:pPr>
        <w:tabs>
          <w:tab w:val="left" w:pos="3300"/>
        </w:tabs>
        <w:ind w:left="720"/>
        <w:jc w:val="both"/>
        <w:rPr>
          <w:rFonts w:ascii="Verdana" w:hAnsi="Verdana"/>
          <w:bCs/>
          <w:sz w:val="24"/>
          <w:szCs w:val="24"/>
        </w:rPr>
      </w:pPr>
    </w:p>
    <w:p w:rsidR="00162560" w:rsidRDefault="00162560" w:rsidP="00162560">
      <w:pPr>
        <w:tabs>
          <w:tab w:val="left" w:pos="3300"/>
        </w:tabs>
        <w:ind w:left="720"/>
        <w:jc w:val="both"/>
        <w:rPr>
          <w:rFonts w:ascii="Verdana" w:hAnsi="Verdana"/>
          <w:sz w:val="24"/>
          <w:szCs w:val="24"/>
          <w:lang w:val="en-US"/>
        </w:rPr>
      </w:pPr>
    </w:p>
    <w:p w:rsidR="00E06DAC" w:rsidRDefault="00E06DAC" w:rsidP="00162560">
      <w:pPr>
        <w:tabs>
          <w:tab w:val="left" w:pos="3300"/>
        </w:tabs>
        <w:ind w:left="720"/>
        <w:jc w:val="both"/>
        <w:rPr>
          <w:rFonts w:ascii="Verdana" w:hAnsi="Verdana"/>
          <w:sz w:val="24"/>
          <w:szCs w:val="24"/>
          <w:lang w:val="en-US"/>
        </w:rPr>
      </w:pPr>
    </w:p>
    <w:p w:rsidR="00E06DAC" w:rsidRDefault="00E06DAC" w:rsidP="00162560">
      <w:pPr>
        <w:tabs>
          <w:tab w:val="left" w:pos="3300"/>
        </w:tabs>
        <w:ind w:left="720"/>
        <w:jc w:val="both"/>
        <w:rPr>
          <w:rFonts w:ascii="Verdana" w:hAnsi="Verdana"/>
          <w:sz w:val="24"/>
          <w:szCs w:val="24"/>
          <w:lang w:val="en-US"/>
        </w:rPr>
      </w:pPr>
    </w:p>
    <w:p w:rsidR="00E06DAC" w:rsidRDefault="00E06DAC" w:rsidP="00162560">
      <w:pPr>
        <w:tabs>
          <w:tab w:val="left" w:pos="3300"/>
        </w:tabs>
        <w:ind w:left="720"/>
        <w:jc w:val="both"/>
        <w:rPr>
          <w:rFonts w:ascii="Verdana" w:hAnsi="Verdana"/>
          <w:sz w:val="24"/>
          <w:szCs w:val="24"/>
          <w:lang w:val="en-US"/>
        </w:rPr>
      </w:pPr>
    </w:p>
    <w:p w:rsidR="00E06DAC" w:rsidRDefault="00E06DAC" w:rsidP="00162560">
      <w:pPr>
        <w:tabs>
          <w:tab w:val="left" w:pos="3300"/>
        </w:tabs>
        <w:ind w:left="720"/>
        <w:jc w:val="both"/>
        <w:rPr>
          <w:rFonts w:ascii="Verdana" w:hAnsi="Verdana"/>
          <w:sz w:val="24"/>
          <w:szCs w:val="24"/>
          <w:lang w:val="en-US"/>
        </w:rPr>
      </w:pPr>
    </w:p>
    <w:p w:rsidR="00E06DAC" w:rsidRDefault="00E06DAC" w:rsidP="00162560">
      <w:pPr>
        <w:tabs>
          <w:tab w:val="left" w:pos="3300"/>
        </w:tabs>
        <w:ind w:left="720"/>
        <w:jc w:val="both"/>
        <w:rPr>
          <w:rFonts w:ascii="Verdana" w:hAnsi="Verdana"/>
          <w:sz w:val="24"/>
          <w:szCs w:val="24"/>
          <w:lang w:val="en-US"/>
        </w:rPr>
      </w:pPr>
    </w:p>
    <w:p w:rsidR="00E06DAC" w:rsidRPr="00E06DAC" w:rsidRDefault="00E06DAC" w:rsidP="00162560">
      <w:pPr>
        <w:tabs>
          <w:tab w:val="left" w:pos="3300"/>
        </w:tabs>
        <w:ind w:left="720"/>
        <w:jc w:val="both"/>
        <w:rPr>
          <w:rFonts w:ascii="Verdana" w:hAnsi="Verdana"/>
          <w:sz w:val="24"/>
          <w:szCs w:val="24"/>
          <w:lang w:val="en-US"/>
        </w:rPr>
      </w:pPr>
    </w:p>
    <w:tbl>
      <w:tblPr>
        <w:tblW w:w="8983" w:type="dxa"/>
        <w:jc w:val="center"/>
        <w:tblCellMar>
          <w:left w:w="0" w:type="dxa"/>
          <w:right w:w="0" w:type="dxa"/>
        </w:tblCellMar>
        <w:tblLook w:val="0420" w:firstRow="1" w:lastRow="0" w:firstColumn="0" w:lastColumn="0" w:noHBand="0" w:noVBand="1"/>
      </w:tblPr>
      <w:tblGrid>
        <w:gridCol w:w="2635"/>
        <w:gridCol w:w="1671"/>
        <w:gridCol w:w="1542"/>
        <w:gridCol w:w="3135"/>
      </w:tblGrid>
      <w:tr w:rsidR="00DC5AB1" w:rsidRPr="00BC26FC" w:rsidTr="00042CC8">
        <w:trPr>
          <w:trHeight w:val="584"/>
          <w:jc w:val="center"/>
        </w:trPr>
        <w:tc>
          <w:tcPr>
            <w:tcW w:w="2635" w:type="dxa"/>
            <w:tcBorders>
              <w:top w:val="single" w:sz="8" w:space="0" w:color="262626"/>
              <w:left w:val="single" w:sz="8" w:space="0" w:color="262626"/>
              <w:bottom w:val="single" w:sz="24" w:space="0" w:color="262626"/>
              <w:right w:val="single" w:sz="8" w:space="0" w:color="262626"/>
            </w:tcBorders>
            <w:shd w:val="clear" w:color="auto" w:fill="2DA2BF"/>
            <w:tcMar>
              <w:top w:w="72" w:type="dxa"/>
              <w:left w:w="144" w:type="dxa"/>
              <w:bottom w:w="72" w:type="dxa"/>
              <w:right w:w="144" w:type="dxa"/>
            </w:tcMar>
            <w:vAlign w:val="center"/>
            <w:hideMark/>
          </w:tcPr>
          <w:p w:rsidR="00DC5AB1" w:rsidRPr="009272C1" w:rsidRDefault="00DC5AB1" w:rsidP="00042CC8">
            <w:pPr>
              <w:pStyle w:val="Default"/>
              <w:spacing w:before="120" w:after="120" w:line="312" w:lineRule="auto"/>
              <w:jc w:val="center"/>
              <w:rPr>
                <w:rFonts w:ascii="Verdana" w:hAnsi="Verdana" w:cs="Calibri"/>
                <w:sz w:val="20"/>
                <w:szCs w:val="20"/>
              </w:rPr>
            </w:pPr>
            <w:r w:rsidRPr="009272C1">
              <w:rPr>
                <w:rFonts w:ascii="Verdana" w:hAnsi="Verdana" w:cs="Calibri"/>
                <w:b/>
                <w:bCs/>
                <w:sz w:val="20"/>
                <w:szCs w:val="20"/>
              </w:rPr>
              <w:lastRenderedPageBreak/>
              <w:t>Έτος στόχου: 2030</w:t>
            </w:r>
          </w:p>
        </w:tc>
        <w:tc>
          <w:tcPr>
            <w:tcW w:w="1671" w:type="dxa"/>
            <w:tcBorders>
              <w:top w:val="single" w:sz="8" w:space="0" w:color="262626"/>
              <w:left w:val="single" w:sz="8" w:space="0" w:color="262626"/>
              <w:bottom w:val="single" w:sz="24" w:space="0" w:color="262626"/>
              <w:right w:val="single" w:sz="8" w:space="0" w:color="262626"/>
            </w:tcBorders>
            <w:shd w:val="clear" w:color="auto" w:fill="2DA2BF"/>
            <w:tcMar>
              <w:top w:w="72" w:type="dxa"/>
              <w:left w:w="144" w:type="dxa"/>
              <w:bottom w:w="72" w:type="dxa"/>
              <w:right w:w="144" w:type="dxa"/>
            </w:tcMar>
            <w:vAlign w:val="center"/>
            <w:hideMark/>
          </w:tcPr>
          <w:p w:rsidR="00DC5AB1" w:rsidRPr="009272C1" w:rsidRDefault="00DC5AB1" w:rsidP="00042CC8">
            <w:pPr>
              <w:pStyle w:val="Default"/>
              <w:spacing w:before="120" w:after="120" w:line="312" w:lineRule="auto"/>
              <w:jc w:val="center"/>
              <w:rPr>
                <w:rFonts w:ascii="Verdana" w:hAnsi="Verdana" w:cs="Calibri"/>
                <w:color w:val="C00000"/>
                <w:sz w:val="20"/>
                <w:szCs w:val="20"/>
              </w:rPr>
            </w:pPr>
            <w:r w:rsidRPr="009272C1">
              <w:rPr>
                <w:rFonts w:ascii="Verdana" w:hAnsi="Verdana" w:cs="Calibri"/>
                <w:b/>
                <w:bCs/>
                <w:color w:val="C00000"/>
                <w:sz w:val="20"/>
                <w:szCs w:val="20"/>
              </w:rPr>
              <w:t>Τελικό EΣΕΚ</w:t>
            </w:r>
          </w:p>
        </w:tc>
        <w:tc>
          <w:tcPr>
            <w:tcW w:w="1542" w:type="dxa"/>
            <w:tcBorders>
              <w:top w:val="single" w:sz="8" w:space="0" w:color="262626"/>
              <w:left w:val="single" w:sz="8" w:space="0" w:color="262626"/>
              <w:bottom w:val="single" w:sz="24" w:space="0" w:color="262626"/>
              <w:right w:val="single" w:sz="8" w:space="0" w:color="262626"/>
            </w:tcBorders>
            <w:shd w:val="clear" w:color="auto" w:fill="D5DCE4" w:themeFill="text2" w:themeFillTint="33"/>
            <w:tcMar>
              <w:top w:w="72" w:type="dxa"/>
              <w:left w:w="144" w:type="dxa"/>
              <w:bottom w:w="72" w:type="dxa"/>
              <w:right w:w="144" w:type="dxa"/>
            </w:tcMar>
            <w:vAlign w:val="center"/>
            <w:hideMark/>
          </w:tcPr>
          <w:p w:rsidR="00DC5AB1" w:rsidRPr="009272C1" w:rsidRDefault="00DC5AB1" w:rsidP="00042CC8">
            <w:pPr>
              <w:pStyle w:val="Default"/>
              <w:spacing w:before="120" w:after="120" w:line="312" w:lineRule="auto"/>
              <w:jc w:val="center"/>
              <w:rPr>
                <w:rFonts w:ascii="Verdana" w:hAnsi="Verdana" w:cs="Calibri"/>
                <w:b/>
                <w:bCs/>
                <w:sz w:val="20"/>
                <w:szCs w:val="20"/>
              </w:rPr>
            </w:pPr>
            <w:r w:rsidRPr="009272C1">
              <w:rPr>
                <w:rFonts w:ascii="Verdana" w:hAnsi="Verdana" w:cs="Calibri"/>
                <w:b/>
                <w:bCs/>
                <w:sz w:val="20"/>
                <w:szCs w:val="20"/>
              </w:rPr>
              <w:t>Αρχικό σχέδιο ΕΣΕΚ</w:t>
            </w:r>
          </w:p>
        </w:tc>
        <w:tc>
          <w:tcPr>
            <w:tcW w:w="3135" w:type="dxa"/>
            <w:tcBorders>
              <w:top w:val="single" w:sz="8" w:space="0" w:color="262626"/>
              <w:left w:val="single" w:sz="8" w:space="0" w:color="262626"/>
              <w:bottom w:val="single" w:sz="24" w:space="0" w:color="262626"/>
              <w:right w:val="single" w:sz="8" w:space="0" w:color="262626"/>
            </w:tcBorders>
            <w:shd w:val="clear" w:color="auto" w:fill="2DA2BF"/>
            <w:tcMar>
              <w:top w:w="72" w:type="dxa"/>
              <w:left w:w="144" w:type="dxa"/>
              <w:bottom w:w="72" w:type="dxa"/>
              <w:right w:w="144" w:type="dxa"/>
            </w:tcMar>
            <w:vAlign w:val="center"/>
            <w:hideMark/>
          </w:tcPr>
          <w:p w:rsidR="00DC5AB1" w:rsidRPr="009272C1" w:rsidRDefault="009272C1" w:rsidP="00042CC8">
            <w:pPr>
              <w:pStyle w:val="Default"/>
              <w:spacing w:before="120" w:after="120" w:line="312" w:lineRule="auto"/>
              <w:jc w:val="center"/>
              <w:rPr>
                <w:rFonts w:ascii="Verdana" w:hAnsi="Verdana" w:cs="Calibri"/>
                <w:sz w:val="20"/>
                <w:szCs w:val="20"/>
              </w:rPr>
            </w:pPr>
            <w:r>
              <w:rPr>
                <w:rFonts w:ascii="Verdana" w:hAnsi="Verdana" w:cs="Calibri"/>
                <w:b/>
                <w:bCs/>
                <w:sz w:val="20"/>
                <w:szCs w:val="20"/>
                <w:lang w:val="en-US"/>
              </w:rPr>
              <w:t>N</w:t>
            </w:r>
            <w:proofErr w:type="spellStart"/>
            <w:r w:rsidR="00DC5AB1" w:rsidRPr="009272C1">
              <w:rPr>
                <w:rFonts w:ascii="Verdana" w:hAnsi="Verdana" w:cs="Calibri"/>
                <w:b/>
                <w:bCs/>
                <w:sz w:val="20"/>
                <w:szCs w:val="20"/>
              </w:rPr>
              <w:t>έοι</w:t>
            </w:r>
            <w:proofErr w:type="spellEnd"/>
            <w:r w:rsidR="00DC5AB1" w:rsidRPr="009272C1">
              <w:rPr>
                <w:rFonts w:ascii="Verdana" w:hAnsi="Verdana" w:cs="Calibri"/>
                <w:b/>
                <w:bCs/>
                <w:sz w:val="20"/>
                <w:szCs w:val="20"/>
              </w:rPr>
              <w:t xml:space="preserve"> Στόχοι  ΕΣΕΚ σε σχέση με στόχους Ευρωπαϊκής Ένωσης </w:t>
            </w:r>
          </w:p>
        </w:tc>
      </w:tr>
      <w:tr w:rsidR="00DC5AB1" w:rsidRPr="00BC26FC" w:rsidTr="00042CC8">
        <w:trPr>
          <w:trHeight w:val="584"/>
          <w:jc w:val="center"/>
        </w:trPr>
        <w:tc>
          <w:tcPr>
            <w:tcW w:w="2635" w:type="dxa"/>
            <w:tcBorders>
              <w:top w:val="single" w:sz="24" w:space="0" w:color="262626"/>
              <w:left w:val="single" w:sz="8" w:space="0" w:color="262626"/>
              <w:bottom w:val="single" w:sz="8" w:space="0" w:color="262626"/>
              <w:right w:val="single" w:sz="8" w:space="0" w:color="262626"/>
            </w:tcBorders>
            <w:shd w:val="clear" w:color="auto" w:fill="CDE0E8"/>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sz w:val="20"/>
                <w:szCs w:val="20"/>
              </w:rPr>
            </w:pPr>
            <w:r w:rsidRPr="009272C1">
              <w:rPr>
                <w:rFonts w:ascii="Verdana" w:hAnsi="Verdana" w:cs="Calibri"/>
                <w:b/>
                <w:bCs/>
                <w:sz w:val="20"/>
                <w:szCs w:val="20"/>
              </w:rPr>
              <w:t>Μερίδιο ΑΠΕ στην Ακαθάριστη Τελική Κατανάλωση Ενέργειας</w:t>
            </w:r>
          </w:p>
        </w:tc>
        <w:tc>
          <w:tcPr>
            <w:tcW w:w="1671" w:type="dxa"/>
            <w:tcBorders>
              <w:top w:val="single" w:sz="24" w:space="0" w:color="262626"/>
              <w:left w:val="single" w:sz="8" w:space="0" w:color="262626"/>
              <w:bottom w:val="single" w:sz="8" w:space="0" w:color="262626"/>
              <w:right w:val="single" w:sz="8" w:space="0" w:color="262626"/>
            </w:tcBorders>
            <w:shd w:val="clear" w:color="auto" w:fill="CDE0E8"/>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color w:val="C00000"/>
                <w:sz w:val="20"/>
                <w:szCs w:val="20"/>
              </w:rPr>
            </w:pPr>
            <w:r w:rsidRPr="009272C1">
              <w:rPr>
                <w:rFonts w:ascii="Verdana" w:hAnsi="Verdana" w:cs="Calibri"/>
                <w:b/>
                <w:bCs/>
                <w:color w:val="C00000"/>
                <w:sz w:val="20"/>
                <w:szCs w:val="20"/>
              </w:rPr>
              <w:t>≥35%</w:t>
            </w:r>
          </w:p>
        </w:tc>
        <w:tc>
          <w:tcPr>
            <w:tcW w:w="1542" w:type="dxa"/>
            <w:tcBorders>
              <w:top w:val="single" w:sz="24" w:space="0" w:color="262626"/>
              <w:left w:val="single" w:sz="8" w:space="0" w:color="262626"/>
              <w:bottom w:val="single" w:sz="8" w:space="0" w:color="262626"/>
              <w:right w:val="single" w:sz="8" w:space="0" w:color="262626"/>
            </w:tcBorders>
            <w:shd w:val="clear" w:color="auto" w:fill="D5DCE4" w:themeFill="text2" w:themeFillTint="33"/>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b/>
                <w:sz w:val="20"/>
                <w:szCs w:val="20"/>
              </w:rPr>
            </w:pPr>
            <w:r w:rsidRPr="009272C1">
              <w:rPr>
                <w:rFonts w:ascii="Verdana" w:hAnsi="Verdana" w:cs="Calibri"/>
                <w:b/>
                <w:sz w:val="20"/>
                <w:szCs w:val="20"/>
              </w:rPr>
              <w:t>31%</w:t>
            </w:r>
          </w:p>
        </w:tc>
        <w:tc>
          <w:tcPr>
            <w:tcW w:w="3135" w:type="dxa"/>
            <w:tcBorders>
              <w:top w:val="single" w:sz="24" w:space="0" w:color="262626"/>
              <w:left w:val="single" w:sz="8" w:space="0" w:color="262626"/>
              <w:bottom w:val="single" w:sz="8" w:space="0" w:color="262626"/>
              <w:right w:val="single" w:sz="8" w:space="0" w:color="262626"/>
            </w:tcBorders>
            <w:shd w:val="clear" w:color="auto" w:fill="CDE0E8"/>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sz w:val="20"/>
                <w:szCs w:val="20"/>
              </w:rPr>
            </w:pPr>
            <w:r w:rsidRPr="009272C1">
              <w:rPr>
                <w:rFonts w:ascii="Verdana" w:hAnsi="Verdana" w:cs="Calibri"/>
                <w:b/>
                <w:bCs/>
                <w:sz w:val="20"/>
                <w:szCs w:val="20"/>
              </w:rPr>
              <w:t xml:space="preserve">Αυξημένος βαθμός φιλοδοξίας σε σχέση με Ευρωπαϊκό </w:t>
            </w:r>
            <w:r w:rsidR="00EC67AD" w:rsidRPr="009272C1">
              <w:rPr>
                <w:rFonts w:ascii="Verdana" w:hAnsi="Verdana" w:cs="Calibri"/>
                <w:b/>
                <w:bCs/>
                <w:sz w:val="20"/>
                <w:szCs w:val="20"/>
              </w:rPr>
              <w:t xml:space="preserve">κεντρικό στόχο 32% </w:t>
            </w:r>
          </w:p>
        </w:tc>
      </w:tr>
      <w:tr w:rsidR="00DC5AB1" w:rsidRPr="00BC26FC" w:rsidTr="00042CC8">
        <w:trPr>
          <w:trHeight w:val="584"/>
          <w:jc w:val="center"/>
        </w:trPr>
        <w:tc>
          <w:tcPr>
            <w:tcW w:w="2635" w:type="dxa"/>
            <w:tcBorders>
              <w:top w:val="single" w:sz="8" w:space="0" w:color="262626"/>
              <w:left w:val="single" w:sz="8" w:space="0" w:color="262626"/>
              <w:bottom w:val="single" w:sz="8" w:space="0" w:color="262626"/>
              <w:right w:val="single" w:sz="8" w:space="0" w:color="262626"/>
            </w:tcBorders>
            <w:shd w:val="clear" w:color="auto" w:fill="E8F0F4"/>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sz w:val="20"/>
                <w:szCs w:val="20"/>
              </w:rPr>
            </w:pPr>
            <w:r w:rsidRPr="009272C1">
              <w:rPr>
                <w:rFonts w:ascii="Verdana" w:hAnsi="Verdana" w:cs="Calibri"/>
                <w:b/>
                <w:bCs/>
                <w:sz w:val="20"/>
                <w:szCs w:val="20"/>
              </w:rPr>
              <w:t>Μερίδιο ΑΠΕ στην Ακαθάριστη Τελική Κατανάλωση Ηλεκτρικής Ενέργειας</w:t>
            </w:r>
          </w:p>
        </w:tc>
        <w:tc>
          <w:tcPr>
            <w:tcW w:w="1671" w:type="dxa"/>
            <w:tcBorders>
              <w:top w:val="single" w:sz="8" w:space="0" w:color="262626"/>
              <w:left w:val="single" w:sz="8" w:space="0" w:color="262626"/>
              <w:bottom w:val="single" w:sz="8" w:space="0" w:color="262626"/>
              <w:right w:val="single" w:sz="8" w:space="0" w:color="262626"/>
            </w:tcBorders>
            <w:shd w:val="clear" w:color="auto" w:fill="E8F0F4"/>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color w:val="C00000"/>
                <w:sz w:val="20"/>
                <w:szCs w:val="20"/>
              </w:rPr>
            </w:pPr>
            <w:r w:rsidRPr="009272C1">
              <w:rPr>
                <w:rFonts w:ascii="Verdana" w:hAnsi="Verdana" w:cs="Calibri"/>
                <w:b/>
                <w:bCs/>
                <w:color w:val="C00000"/>
                <w:sz w:val="20"/>
                <w:szCs w:val="20"/>
              </w:rPr>
              <w:sym w:font="Symbol" w:char="F0BB"/>
            </w:r>
            <w:r w:rsidRPr="009272C1">
              <w:rPr>
                <w:rFonts w:ascii="Verdana" w:hAnsi="Verdana" w:cs="Calibri"/>
                <w:b/>
                <w:bCs/>
                <w:color w:val="C00000"/>
                <w:sz w:val="20"/>
                <w:szCs w:val="20"/>
              </w:rPr>
              <w:t>61-64%</w:t>
            </w:r>
          </w:p>
        </w:tc>
        <w:tc>
          <w:tcPr>
            <w:tcW w:w="1542" w:type="dxa"/>
            <w:tcBorders>
              <w:top w:val="single" w:sz="8" w:space="0" w:color="262626"/>
              <w:left w:val="single" w:sz="8" w:space="0" w:color="262626"/>
              <w:bottom w:val="single" w:sz="8" w:space="0" w:color="262626"/>
              <w:right w:val="single" w:sz="8" w:space="0" w:color="262626"/>
            </w:tcBorders>
            <w:shd w:val="clear" w:color="auto" w:fill="D5DCE4" w:themeFill="text2" w:themeFillTint="33"/>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b/>
                <w:sz w:val="20"/>
                <w:szCs w:val="20"/>
              </w:rPr>
            </w:pPr>
            <w:r w:rsidRPr="009272C1">
              <w:rPr>
                <w:rFonts w:ascii="Verdana" w:hAnsi="Verdana" w:cs="Calibri"/>
                <w:b/>
                <w:sz w:val="20"/>
                <w:szCs w:val="20"/>
              </w:rPr>
              <w:t>56%</w:t>
            </w:r>
          </w:p>
        </w:tc>
        <w:tc>
          <w:tcPr>
            <w:tcW w:w="3135" w:type="dxa"/>
            <w:tcBorders>
              <w:top w:val="single" w:sz="8" w:space="0" w:color="262626"/>
              <w:left w:val="single" w:sz="8" w:space="0" w:color="262626"/>
              <w:bottom w:val="single" w:sz="8" w:space="0" w:color="262626"/>
              <w:right w:val="single" w:sz="8" w:space="0" w:color="262626"/>
            </w:tcBorders>
            <w:shd w:val="clear" w:color="auto" w:fill="E8F0F4"/>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sz w:val="20"/>
                <w:szCs w:val="20"/>
                <w:highlight w:val="green"/>
              </w:rPr>
            </w:pPr>
          </w:p>
        </w:tc>
      </w:tr>
      <w:tr w:rsidR="00DC5AB1" w:rsidRPr="00BC26FC" w:rsidTr="00042CC8">
        <w:trPr>
          <w:trHeight w:val="584"/>
          <w:jc w:val="center"/>
        </w:trPr>
        <w:tc>
          <w:tcPr>
            <w:tcW w:w="2635" w:type="dxa"/>
            <w:tcBorders>
              <w:top w:val="single" w:sz="8" w:space="0" w:color="262626"/>
              <w:left w:val="single" w:sz="8" w:space="0" w:color="262626"/>
              <w:bottom w:val="single" w:sz="8" w:space="0" w:color="262626"/>
              <w:right w:val="single" w:sz="8" w:space="0" w:color="262626"/>
            </w:tcBorders>
            <w:shd w:val="clear" w:color="auto" w:fill="CDE0E8"/>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sz w:val="20"/>
                <w:szCs w:val="20"/>
              </w:rPr>
            </w:pPr>
            <w:r w:rsidRPr="009272C1">
              <w:rPr>
                <w:rFonts w:ascii="Verdana" w:hAnsi="Verdana" w:cs="Calibri"/>
                <w:b/>
                <w:bCs/>
                <w:sz w:val="20"/>
                <w:szCs w:val="20"/>
              </w:rPr>
              <w:t>Τελική Κατανάλωση Ενέργειας</w:t>
            </w:r>
          </w:p>
        </w:tc>
        <w:tc>
          <w:tcPr>
            <w:tcW w:w="1671" w:type="dxa"/>
            <w:tcBorders>
              <w:top w:val="single" w:sz="8" w:space="0" w:color="262626"/>
              <w:left w:val="single" w:sz="8" w:space="0" w:color="262626"/>
              <w:bottom w:val="single" w:sz="8" w:space="0" w:color="262626"/>
              <w:right w:val="single" w:sz="8" w:space="0" w:color="262626"/>
            </w:tcBorders>
            <w:shd w:val="clear" w:color="auto" w:fill="CDE0E8"/>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b/>
                <w:bCs/>
                <w:color w:val="C00000"/>
                <w:sz w:val="20"/>
                <w:szCs w:val="20"/>
              </w:rPr>
            </w:pPr>
            <w:r w:rsidRPr="009272C1">
              <w:rPr>
                <w:rFonts w:ascii="Verdana" w:hAnsi="Verdana" w:cs="Calibri"/>
                <w:b/>
                <w:bCs/>
                <w:color w:val="C00000"/>
                <w:sz w:val="20"/>
                <w:szCs w:val="20"/>
              </w:rPr>
              <w:sym w:font="Symbol" w:char="F0BB"/>
            </w:r>
            <w:r w:rsidRPr="009272C1">
              <w:rPr>
                <w:rFonts w:ascii="Verdana" w:hAnsi="Verdana" w:cs="Calibri"/>
                <w:b/>
                <w:bCs/>
                <w:color w:val="C00000"/>
                <w:sz w:val="20"/>
                <w:szCs w:val="20"/>
              </w:rPr>
              <w:t>16.1-16.</w:t>
            </w:r>
            <w:r w:rsidRPr="009272C1">
              <w:rPr>
                <w:rFonts w:ascii="Verdana" w:hAnsi="Verdana" w:cs="Calibri"/>
                <w:b/>
                <w:bCs/>
                <w:color w:val="C00000"/>
                <w:sz w:val="20"/>
                <w:szCs w:val="20"/>
                <w:lang w:val="en-US"/>
              </w:rPr>
              <w:t>5</w:t>
            </w:r>
            <w:proofErr w:type="spellStart"/>
            <w:r w:rsidRPr="009272C1">
              <w:rPr>
                <w:rFonts w:ascii="Verdana" w:hAnsi="Verdana" w:cs="Calibri"/>
                <w:b/>
                <w:bCs/>
                <w:color w:val="C00000"/>
                <w:sz w:val="20"/>
                <w:szCs w:val="20"/>
              </w:rPr>
              <w:t>Mtoe</w:t>
            </w:r>
            <w:proofErr w:type="spellEnd"/>
          </w:p>
          <w:p w:rsidR="00DC5AB1" w:rsidRPr="009272C1" w:rsidRDefault="00DC5AB1" w:rsidP="00042CC8">
            <w:pPr>
              <w:pStyle w:val="Default"/>
              <w:jc w:val="center"/>
              <w:rPr>
                <w:rFonts w:ascii="Verdana" w:hAnsi="Verdana" w:cs="Calibri"/>
                <w:color w:val="C00000"/>
                <w:sz w:val="20"/>
                <w:szCs w:val="20"/>
                <w:lang w:val="en-US"/>
              </w:rPr>
            </w:pPr>
            <w:r w:rsidRPr="009272C1">
              <w:rPr>
                <w:rFonts w:ascii="Verdana" w:hAnsi="Verdana" w:cs="Calibri"/>
                <w:b/>
                <w:bCs/>
                <w:color w:val="C00000"/>
                <w:sz w:val="20"/>
                <w:szCs w:val="20"/>
                <w:lang w:val="en-US"/>
              </w:rPr>
              <w:t>(≥38%)</w:t>
            </w:r>
          </w:p>
        </w:tc>
        <w:tc>
          <w:tcPr>
            <w:tcW w:w="1542" w:type="dxa"/>
            <w:tcBorders>
              <w:top w:val="single" w:sz="8" w:space="0" w:color="262626"/>
              <w:left w:val="single" w:sz="8" w:space="0" w:color="262626"/>
              <w:bottom w:val="single" w:sz="8" w:space="0" w:color="262626"/>
              <w:right w:val="single" w:sz="8" w:space="0" w:color="262626"/>
            </w:tcBorders>
            <w:shd w:val="clear" w:color="auto" w:fill="D5DCE4" w:themeFill="text2" w:themeFillTint="33"/>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b/>
                <w:sz w:val="20"/>
                <w:szCs w:val="20"/>
              </w:rPr>
            </w:pPr>
            <w:r w:rsidRPr="009272C1">
              <w:rPr>
                <w:rFonts w:ascii="Verdana" w:hAnsi="Verdana" w:cs="Calibri"/>
                <w:b/>
                <w:sz w:val="20"/>
                <w:szCs w:val="20"/>
              </w:rPr>
              <w:t>18.1Mtoe</w:t>
            </w:r>
          </w:p>
        </w:tc>
        <w:tc>
          <w:tcPr>
            <w:tcW w:w="3135" w:type="dxa"/>
            <w:tcBorders>
              <w:top w:val="single" w:sz="8" w:space="0" w:color="262626"/>
              <w:left w:val="single" w:sz="8" w:space="0" w:color="262626"/>
              <w:bottom w:val="single" w:sz="8" w:space="0" w:color="262626"/>
              <w:right w:val="single" w:sz="8" w:space="0" w:color="262626"/>
            </w:tcBorders>
            <w:shd w:val="clear" w:color="auto" w:fill="CDE0E8"/>
            <w:tcMar>
              <w:top w:w="72" w:type="dxa"/>
              <w:left w:w="144" w:type="dxa"/>
              <w:bottom w:w="72" w:type="dxa"/>
              <w:right w:w="144" w:type="dxa"/>
            </w:tcMar>
            <w:vAlign w:val="center"/>
            <w:hideMark/>
          </w:tcPr>
          <w:p w:rsidR="00DC5AB1" w:rsidRPr="009272C1" w:rsidRDefault="00DC5AB1" w:rsidP="00EC67AD">
            <w:pPr>
              <w:pStyle w:val="Default"/>
              <w:jc w:val="center"/>
              <w:rPr>
                <w:rFonts w:ascii="Verdana" w:hAnsi="Verdana" w:cs="Calibri"/>
                <w:sz w:val="20"/>
                <w:szCs w:val="20"/>
              </w:rPr>
            </w:pPr>
            <w:r w:rsidRPr="009272C1">
              <w:rPr>
                <w:rFonts w:ascii="Verdana" w:hAnsi="Verdana" w:cs="Calibri"/>
                <w:b/>
                <w:bCs/>
                <w:sz w:val="20"/>
                <w:szCs w:val="20"/>
              </w:rPr>
              <w:t xml:space="preserve">Αυξημένος βαθμός φιλοδοξίας σε σχέση με Ευρωπαϊκό </w:t>
            </w:r>
            <w:r w:rsidR="00EC67AD" w:rsidRPr="009272C1">
              <w:rPr>
                <w:rFonts w:ascii="Verdana" w:hAnsi="Verdana" w:cs="Calibri"/>
                <w:b/>
                <w:bCs/>
                <w:sz w:val="20"/>
                <w:szCs w:val="20"/>
              </w:rPr>
              <w:t>κεντρικό στόχο 32,</w:t>
            </w:r>
            <w:r w:rsidRPr="009272C1">
              <w:rPr>
                <w:rFonts w:ascii="Verdana" w:hAnsi="Verdana" w:cs="Calibri"/>
                <w:b/>
                <w:bCs/>
                <w:sz w:val="20"/>
                <w:szCs w:val="20"/>
              </w:rPr>
              <w:t xml:space="preserve">5% </w:t>
            </w:r>
          </w:p>
        </w:tc>
      </w:tr>
      <w:tr w:rsidR="00DC5AB1" w:rsidRPr="00BC26FC" w:rsidTr="00042CC8">
        <w:trPr>
          <w:trHeight w:val="584"/>
          <w:jc w:val="center"/>
        </w:trPr>
        <w:tc>
          <w:tcPr>
            <w:tcW w:w="2635" w:type="dxa"/>
            <w:tcBorders>
              <w:top w:val="single" w:sz="8" w:space="0" w:color="262626"/>
              <w:left w:val="single" w:sz="8" w:space="0" w:color="262626"/>
              <w:bottom w:val="single" w:sz="8" w:space="0" w:color="262626"/>
              <w:right w:val="single" w:sz="8" w:space="0" w:color="262626"/>
            </w:tcBorders>
            <w:shd w:val="clear" w:color="auto" w:fill="CDE0E8"/>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sz w:val="20"/>
                <w:szCs w:val="20"/>
              </w:rPr>
            </w:pPr>
            <w:r w:rsidRPr="009272C1">
              <w:rPr>
                <w:rFonts w:ascii="Verdana" w:hAnsi="Verdana" w:cs="Calibri"/>
                <w:b/>
                <w:bCs/>
                <w:sz w:val="20"/>
                <w:szCs w:val="20"/>
              </w:rPr>
              <w:t>Μερίδιο Λιγνίτη στην Ηλεκτροπαραγωγή</w:t>
            </w:r>
          </w:p>
        </w:tc>
        <w:tc>
          <w:tcPr>
            <w:tcW w:w="1671" w:type="dxa"/>
            <w:tcBorders>
              <w:top w:val="single" w:sz="8" w:space="0" w:color="262626"/>
              <w:left w:val="single" w:sz="8" w:space="0" w:color="262626"/>
              <w:bottom w:val="single" w:sz="8" w:space="0" w:color="262626"/>
              <w:right w:val="single" w:sz="8" w:space="0" w:color="262626"/>
            </w:tcBorders>
            <w:shd w:val="clear" w:color="auto" w:fill="CDE0E8"/>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color w:val="C00000"/>
                <w:sz w:val="20"/>
                <w:szCs w:val="20"/>
              </w:rPr>
            </w:pPr>
            <w:r w:rsidRPr="009272C1">
              <w:rPr>
                <w:rFonts w:ascii="Verdana" w:hAnsi="Verdana" w:cs="Calibri"/>
                <w:b/>
                <w:bCs/>
                <w:color w:val="C00000"/>
                <w:sz w:val="20"/>
                <w:szCs w:val="20"/>
              </w:rPr>
              <w:t>0%</w:t>
            </w:r>
          </w:p>
        </w:tc>
        <w:tc>
          <w:tcPr>
            <w:tcW w:w="1542" w:type="dxa"/>
            <w:tcBorders>
              <w:top w:val="single" w:sz="8" w:space="0" w:color="262626"/>
              <w:left w:val="single" w:sz="8" w:space="0" w:color="262626"/>
              <w:bottom w:val="single" w:sz="8" w:space="0" w:color="262626"/>
              <w:right w:val="single" w:sz="8" w:space="0" w:color="262626"/>
            </w:tcBorders>
            <w:shd w:val="clear" w:color="auto" w:fill="D5DCE4" w:themeFill="text2" w:themeFillTint="33"/>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b/>
                <w:sz w:val="20"/>
                <w:szCs w:val="20"/>
              </w:rPr>
            </w:pPr>
            <w:r w:rsidRPr="009272C1">
              <w:rPr>
                <w:rFonts w:ascii="Verdana" w:hAnsi="Verdana" w:cs="Calibri"/>
                <w:b/>
                <w:sz w:val="20"/>
                <w:szCs w:val="20"/>
              </w:rPr>
              <w:t>16.5%</w:t>
            </w:r>
          </w:p>
        </w:tc>
        <w:tc>
          <w:tcPr>
            <w:tcW w:w="3135" w:type="dxa"/>
            <w:tcBorders>
              <w:top w:val="single" w:sz="8" w:space="0" w:color="262626"/>
              <w:left w:val="single" w:sz="8" w:space="0" w:color="262626"/>
              <w:bottom w:val="single" w:sz="8" w:space="0" w:color="262626"/>
              <w:right w:val="single" w:sz="8" w:space="0" w:color="262626"/>
            </w:tcBorders>
            <w:shd w:val="clear" w:color="auto" w:fill="CDE0E8"/>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sz w:val="20"/>
                <w:szCs w:val="20"/>
              </w:rPr>
            </w:pPr>
          </w:p>
        </w:tc>
      </w:tr>
      <w:tr w:rsidR="00DC5AB1" w:rsidRPr="00BC26FC" w:rsidTr="00042CC8">
        <w:trPr>
          <w:trHeight w:val="584"/>
          <w:jc w:val="center"/>
        </w:trPr>
        <w:tc>
          <w:tcPr>
            <w:tcW w:w="2635" w:type="dxa"/>
            <w:tcBorders>
              <w:top w:val="single" w:sz="8" w:space="0" w:color="262626"/>
              <w:left w:val="single" w:sz="8" w:space="0" w:color="262626"/>
              <w:bottom w:val="single" w:sz="8" w:space="0" w:color="262626"/>
              <w:right w:val="single" w:sz="8" w:space="0" w:color="262626"/>
            </w:tcBorders>
            <w:shd w:val="clear" w:color="auto" w:fill="E8F0F4"/>
            <w:tcMar>
              <w:top w:w="72" w:type="dxa"/>
              <w:left w:w="144" w:type="dxa"/>
              <w:bottom w:w="72" w:type="dxa"/>
              <w:right w:w="144" w:type="dxa"/>
            </w:tcMar>
            <w:vAlign w:val="center"/>
            <w:hideMark/>
          </w:tcPr>
          <w:p w:rsidR="00DC5AB1" w:rsidRPr="009272C1" w:rsidRDefault="00EC67AD" w:rsidP="00042CC8">
            <w:pPr>
              <w:pStyle w:val="Default"/>
              <w:jc w:val="center"/>
              <w:rPr>
                <w:rFonts w:ascii="Verdana" w:hAnsi="Verdana" w:cs="Calibri"/>
                <w:sz w:val="20"/>
                <w:szCs w:val="20"/>
              </w:rPr>
            </w:pPr>
            <w:r w:rsidRPr="009272C1">
              <w:rPr>
                <w:rFonts w:ascii="Verdana" w:hAnsi="Verdana" w:cs="Calibri"/>
                <w:b/>
                <w:bCs/>
                <w:sz w:val="20"/>
                <w:szCs w:val="20"/>
              </w:rPr>
              <w:t>Μείωση Αερίων του Θερμοκηπίου (</w:t>
            </w:r>
            <w:proofErr w:type="spellStart"/>
            <w:r w:rsidRPr="009272C1">
              <w:rPr>
                <w:rFonts w:ascii="Verdana" w:hAnsi="Verdana" w:cs="Calibri"/>
                <w:b/>
                <w:bCs/>
                <w:sz w:val="20"/>
                <w:szCs w:val="20"/>
              </w:rPr>
              <w:t>ΑτΘ</w:t>
            </w:r>
            <w:proofErr w:type="spellEnd"/>
            <w:r w:rsidRPr="009272C1">
              <w:rPr>
                <w:rFonts w:ascii="Verdana" w:hAnsi="Verdana" w:cs="Calibri"/>
                <w:b/>
                <w:bCs/>
                <w:sz w:val="20"/>
                <w:szCs w:val="20"/>
              </w:rPr>
              <w:t>)</w:t>
            </w:r>
          </w:p>
        </w:tc>
        <w:tc>
          <w:tcPr>
            <w:tcW w:w="1671" w:type="dxa"/>
            <w:tcBorders>
              <w:top w:val="single" w:sz="8" w:space="0" w:color="262626"/>
              <w:left w:val="single" w:sz="8" w:space="0" w:color="262626"/>
              <w:bottom w:val="single" w:sz="8" w:space="0" w:color="262626"/>
              <w:right w:val="single" w:sz="8" w:space="0" w:color="262626"/>
            </w:tcBorders>
            <w:shd w:val="clear" w:color="auto" w:fill="E8F0F4"/>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color w:val="C00000"/>
                <w:sz w:val="20"/>
                <w:szCs w:val="20"/>
              </w:rPr>
            </w:pPr>
            <w:r w:rsidRPr="009272C1">
              <w:rPr>
                <w:rFonts w:ascii="Verdana" w:hAnsi="Verdana" w:cs="Calibri"/>
                <w:b/>
                <w:bCs/>
                <w:color w:val="C00000"/>
                <w:sz w:val="20"/>
                <w:szCs w:val="20"/>
              </w:rPr>
              <w:t>≥4</w:t>
            </w:r>
            <w:r w:rsidRPr="009272C1">
              <w:rPr>
                <w:rFonts w:ascii="Verdana" w:hAnsi="Verdana" w:cs="Calibri"/>
                <w:b/>
                <w:bCs/>
                <w:color w:val="C00000"/>
                <w:sz w:val="20"/>
                <w:szCs w:val="20"/>
                <w:lang w:val="en-US"/>
              </w:rPr>
              <w:t>2</w:t>
            </w:r>
            <w:r w:rsidRPr="009272C1">
              <w:rPr>
                <w:rFonts w:ascii="Verdana" w:hAnsi="Verdana" w:cs="Calibri"/>
                <w:b/>
                <w:bCs/>
                <w:color w:val="C00000"/>
                <w:sz w:val="20"/>
                <w:szCs w:val="20"/>
              </w:rPr>
              <w:t xml:space="preserve">% </w:t>
            </w:r>
            <w:proofErr w:type="spellStart"/>
            <w:r w:rsidRPr="009272C1">
              <w:rPr>
                <w:rFonts w:ascii="Verdana" w:hAnsi="Verdana" w:cs="Calibri"/>
                <w:b/>
                <w:bCs/>
                <w:color w:val="C00000"/>
                <w:sz w:val="20"/>
                <w:szCs w:val="20"/>
              </w:rPr>
              <w:t>vs</w:t>
            </w:r>
            <w:proofErr w:type="spellEnd"/>
            <w:r w:rsidRPr="009272C1">
              <w:rPr>
                <w:rFonts w:ascii="Verdana" w:hAnsi="Verdana" w:cs="Calibri"/>
                <w:b/>
                <w:bCs/>
                <w:color w:val="C00000"/>
                <w:sz w:val="20"/>
                <w:szCs w:val="20"/>
              </w:rPr>
              <w:t xml:space="preserve"> 1990,</w:t>
            </w:r>
          </w:p>
          <w:p w:rsidR="00DC5AB1" w:rsidRPr="009272C1" w:rsidRDefault="00DC5AB1" w:rsidP="00042CC8">
            <w:pPr>
              <w:pStyle w:val="Default"/>
              <w:jc w:val="center"/>
              <w:rPr>
                <w:rFonts w:ascii="Verdana" w:hAnsi="Verdana" w:cs="Calibri"/>
                <w:color w:val="C00000"/>
                <w:sz w:val="20"/>
                <w:szCs w:val="20"/>
              </w:rPr>
            </w:pPr>
            <w:r w:rsidRPr="009272C1">
              <w:rPr>
                <w:rFonts w:ascii="Verdana" w:hAnsi="Verdana" w:cs="Calibri"/>
                <w:b/>
                <w:bCs/>
                <w:color w:val="C00000"/>
                <w:sz w:val="20"/>
                <w:szCs w:val="20"/>
              </w:rPr>
              <w:t>≥5</w:t>
            </w:r>
            <w:r w:rsidRPr="009272C1">
              <w:rPr>
                <w:rFonts w:ascii="Verdana" w:hAnsi="Verdana" w:cs="Calibri"/>
                <w:b/>
                <w:bCs/>
                <w:color w:val="C00000"/>
                <w:sz w:val="20"/>
                <w:szCs w:val="20"/>
                <w:lang w:val="en-US"/>
              </w:rPr>
              <w:t>5</w:t>
            </w:r>
            <w:r w:rsidRPr="009272C1">
              <w:rPr>
                <w:rFonts w:ascii="Verdana" w:hAnsi="Verdana" w:cs="Calibri"/>
                <w:b/>
                <w:bCs/>
                <w:color w:val="C00000"/>
                <w:sz w:val="20"/>
                <w:szCs w:val="20"/>
              </w:rPr>
              <w:t xml:space="preserve">% </w:t>
            </w:r>
            <w:proofErr w:type="spellStart"/>
            <w:r w:rsidRPr="009272C1">
              <w:rPr>
                <w:rFonts w:ascii="Verdana" w:hAnsi="Verdana" w:cs="Calibri"/>
                <w:b/>
                <w:bCs/>
                <w:color w:val="C00000"/>
                <w:sz w:val="20"/>
                <w:szCs w:val="20"/>
              </w:rPr>
              <w:t>vs</w:t>
            </w:r>
            <w:proofErr w:type="spellEnd"/>
            <w:r w:rsidRPr="009272C1">
              <w:rPr>
                <w:rFonts w:ascii="Verdana" w:hAnsi="Verdana" w:cs="Calibri"/>
                <w:b/>
                <w:bCs/>
                <w:color w:val="C00000"/>
                <w:sz w:val="20"/>
                <w:szCs w:val="20"/>
              </w:rPr>
              <w:t xml:space="preserve"> 2005</w:t>
            </w:r>
          </w:p>
        </w:tc>
        <w:tc>
          <w:tcPr>
            <w:tcW w:w="1542" w:type="dxa"/>
            <w:tcBorders>
              <w:top w:val="single" w:sz="8" w:space="0" w:color="262626"/>
              <w:left w:val="single" w:sz="8" w:space="0" w:color="262626"/>
              <w:bottom w:val="single" w:sz="8" w:space="0" w:color="262626"/>
              <w:right w:val="single" w:sz="8" w:space="0" w:color="262626"/>
            </w:tcBorders>
            <w:shd w:val="clear" w:color="auto" w:fill="D5DCE4" w:themeFill="text2" w:themeFillTint="33"/>
            <w:tcMar>
              <w:top w:w="72" w:type="dxa"/>
              <w:left w:w="144" w:type="dxa"/>
              <w:bottom w:w="72" w:type="dxa"/>
              <w:right w:w="144" w:type="dxa"/>
            </w:tcMar>
            <w:vAlign w:val="center"/>
            <w:hideMark/>
          </w:tcPr>
          <w:p w:rsidR="00DC5AB1" w:rsidRPr="009272C1" w:rsidRDefault="00DC5AB1" w:rsidP="00042CC8">
            <w:pPr>
              <w:pStyle w:val="Default"/>
              <w:jc w:val="center"/>
              <w:rPr>
                <w:rFonts w:ascii="Verdana" w:hAnsi="Verdana" w:cs="Calibri"/>
                <w:b/>
                <w:sz w:val="20"/>
                <w:szCs w:val="20"/>
              </w:rPr>
            </w:pPr>
            <w:r w:rsidRPr="009272C1">
              <w:rPr>
                <w:rFonts w:ascii="Verdana" w:hAnsi="Verdana" w:cs="Calibri"/>
                <w:b/>
                <w:sz w:val="20"/>
                <w:szCs w:val="20"/>
                <w:lang w:val="en-US"/>
              </w:rPr>
              <w:t>32</w:t>
            </w:r>
            <w:r w:rsidRPr="009272C1">
              <w:rPr>
                <w:rFonts w:ascii="Verdana" w:hAnsi="Verdana" w:cs="Calibri"/>
                <w:b/>
                <w:sz w:val="20"/>
                <w:szCs w:val="20"/>
              </w:rPr>
              <w:t xml:space="preserve">% </w:t>
            </w:r>
            <w:proofErr w:type="spellStart"/>
            <w:r w:rsidRPr="009272C1">
              <w:rPr>
                <w:rFonts w:ascii="Verdana" w:hAnsi="Verdana" w:cs="Calibri"/>
                <w:b/>
                <w:sz w:val="20"/>
                <w:szCs w:val="20"/>
              </w:rPr>
              <w:t>vs</w:t>
            </w:r>
            <w:proofErr w:type="spellEnd"/>
            <w:r w:rsidRPr="009272C1">
              <w:rPr>
                <w:rFonts w:ascii="Verdana" w:hAnsi="Verdana" w:cs="Calibri"/>
                <w:b/>
                <w:sz w:val="20"/>
                <w:szCs w:val="20"/>
              </w:rPr>
              <w:t xml:space="preserve"> 1990,</w:t>
            </w:r>
          </w:p>
          <w:p w:rsidR="00DC5AB1" w:rsidRPr="009272C1" w:rsidRDefault="00DC5AB1" w:rsidP="00042CC8">
            <w:pPr>
              <w:pStyle w:val="Default"/>
              <w:jc w:val="center"/>
              <w:rPr>
                <w:rFonts w:ascii="Verdana" w:hAnsi="Verdana" w:cs="Calibri"/>
                <w:b/>
                <w:sz w:val="20"/>
                <w:szCs w:val="20"/>
              </w:rPr>
            </w:pPr>
            <w:r w:rsidRPr="009272C1">
              <w:rPr>
                <w:rFonts w:ascii="Verdana" w:hAnsi="Verdana" w:cs="Calibri"/>
                <w:b/>
                <w:sz w:val="20"/>
                <w:szCs w:val="20"/>
                <w:lang w:val="en-US"/>
              </w:rPr>
              <w:t>48</w:t>
            </w:r>
            <w:r w:rsidRPr="009272C1">
              <w:rPr>
                <w:rFonts w:ascii="Verdana" w:hAnsi="Verdana" w:cs="Calibri"/>
                <w:b/>
                <w:sz w:val="20"/>
                <w:szCs w:val="20"/>
              </w:rPr>
              <w:t xml:space="preserve">% </w:t>
            </w:r>
            <w:proofErr w:type="spellStart"/>
            <w:r w:rsidRPr="009272C1">
              <w:rPr>
                <w:rFonts w:ascii="Verdana" w:hAnsi="Verdana" w:cs="Calibri"/>
                <w:b/>
                <w:sz w:val="20"/>
                <w:szCs w:val="20"/>
              </w:rPr>
              <w:t>vs</w:t>
            </w:r>
            <w:proofErr w:type="spellEnd"/>
            <w:r w:rsidRPr="009272C1">
              <w:rPr>
                <w:rFonts w:ascii="Verdana" w:hAnsi="Verdana" w:cs="Calibri"/>
                <w:b/>
                <w:sz w:val="20"/>
                <w:szCs w:val="20"/>
              </w:rPr>
              <w:t xml:space="preserve"> 2005</w:t>
            </w:r>
          </w:p>
        </w:tc>
        <w:tc>
          <w:tcPr>
            <w:tcW w:w="3135" w:type="dxa"/>
            <w:tcBorders>
              <w:top w:val="single" w:sz="8" w:space="0" w:color="262626"/>
              <w:left w:val="single" w:sz="8" w:space="0" w:color="262626"/>
              <w:bottom w:val="single" w:sz="8" w:space="0" w:color="262626"/>
              <w:right w:val="single" w:sz="8" w:space="0" w:color="262626"/>
            </w:tcBorders>
            <w:shd w:val="clear" w:color="auto" w:fill="E8F0F4"/>
            <w:tcMar>
              <w:top w:w="72" w:type="dxa"/>
              <w:left w:w="144" w:type="dxa"/>
              <w:bottom w:w="72" w:type="dxa"/>
              <w:right w:w="144" w:type="dxa"/>
            </w:tcMar>
            <w:vAlign w:val="center"/>
            <w:hideMark/>
          </w:tcPr>
          <w:p w:rsidR="00DC5AB1" w:rsidRPr="009272C1" w:rsidRDefault="00DC5AB1" w:rsidP="00EC67AD">
            <w:pPr>
              <w:pStyle w:val="Default"/>
              <w:jc w:val="center"/>
              <w:rPr>
                <w:rFonts w:ascii="Verdana" w:hAnsi="Verdana" w:cs="Calibri"/>
                <w:sz w:val="20"/>
                <w:szCs w:val="20"/>
              </w:rPr>
            </w:pPr>
            <w:r w:rsidRPr="009272C1">
              <w:rPr>
                <w:rFonts w:ascii="Verdana" w:hAnsi="Verdana" w:cs="Calibri"/>
                <w:b/>
                <w:bCs/>
                <w:sz w:val="20"/>
                <w:szCs w:val="20"/>
              </w:rPr>
              <w:t xml:space="preserve">Σε ταύτιση με κεντρικούς Ευρωπαϊκούς στόχους </w:t>
            </w:r>
          </w:p>
        </w:tc>
      </w:tr>
    </w:tbl>
    <w:p w:rsidR="00E7506F" w:rsidRPr="00B9273D" w:rsidRDefault="00E7506F" w:rsidP="00B9273D">
      <w:pPr>
        <w:tabs>
          <w:tab w:val="left" w:pos="3300"/>
        </w:tabs>
        <w:spacing w:line="312" w:lineRule="auto"/>
        <w:jc w:val="both"/>
        <w:rPr>
          <w:rFonts w:ascii="Verdana" w:hAnsi="Verdana"/>
        </w:rPr>
      </w:pPr>
    </w:p>
    <w:p w:rsidR="00EC67AD" w:rsidRPr="00B9273D" w:rsidRDefault="00EC67AD" w:rsidP="00B9273D">
      <w:pPr>
        <w:tabs>
          <w:tab w:val="left" w:pos="3300"/>
        </w:tabs>
        <w:spacing w:line="312" w:lineRule="auto"/>
        <w:jc w:val="both"/>
        <w:rPr>
          <w:rFonts w:ascii="Verdana" w:hAnsi="Verdana"/>
        </w:rPr>
      </w:pPr>
      <w:r w:rsidRPr="00B9273D">
        <w:rPr>
          <w:rFonts w:ascii="Verdana" w:hAnsi="Verdana"/>
        </w:rPr>
        <w:t>Σημειώνεται ότι οι βασικοί ποσοτικοί στόχοι πολιτικής έως το 2030 αποτελούν παράλληλα «ενδιάμεσους» στόχους για μείωση των εκπομπών αερίων του θερμοκηπίου έως το 2050, όπου στόχος της κυβέρνησης είναι να υιοθετήσει την δέσμευση για μια κλιματικά ουδέτερη οικονομία σε επίπεδο ΕΕ.</w:t>
      </w:r>
    </w:p>
    <w:p w:rsidR="00B9273D" w:rsidRDefault="00B9273D" w:rsidP="00B9273D">
      <w:pPr>
        <w:tabs>
          <w:tab w:val="left" w:pos="3300"/>
        </w:tabs>
        <w:spacing w:line="312" w:lineRule="auto"/>
        <w:jc w:val="both"/>
        <w:rPr>
          <w:rFonts w:ascii="Verdana" w:hAnsi="Verdana"/>
          <w:b/>
          <w:u w:val="single"/>
        </w:rPr>
      </w:pPr>
    </w:p>
    <w:p w:rsidR="00420DCE" w:rsidRPr="00B9273D" w:rsidRDefault="00420DCE" w:rsidP="00B9273D">
      <w:pPr>
        <w:tabs>
          <w:tab w:val="left" w:pos="3300"/>
        </w:tabs>
        <w:spacing w:line="312" w:lineRule="auto"/>
        <w:jc w:val="both"/>
        <w:rPr>
          <w:rFonts w:ascii="Verdana" w:hAnsi="Verdana"/>
          <w:b/>
          <w:u w:val="single"/>
        </w:rPr>
      </w:pPr>
      <w:r w:rsidRPr="00B9273D">
        <w:rPr>
          <w:rFonts w:ascii="Verdana" w:hAnsi="Verdana"/>
          <w:b/>
          <w:u w:val="single"/>
        </w:rPr>
        <w:t>ΑΠΟΛΙΓΝΙΤΟΠΟΙΗΣΗ</w:t>
      </w:r>
    </w:p>
    <w:p w:rsidR="007D7525" w:rsidRPr="00B9273D" w:rsidRDefault="007D7525" w:rsidP="00B9273D">
      <w:pPr>
        <w:tabs>
          <w:tab w:val="left" w:pos="3300"/>
        </w:tabs>
        <w:spacing w:line="312" w:lineRule="auto"/>
        <w:jc w:val="both"/>
        <w:rPr>
          <w:rFonts w:ascii="Verdana" w:hAnsi="Verdana"/>
        </w:rPr>
      </w:pPr>
    </w:p>
    <w:p w:rsidR="00287EA9" w:rsidRPr="00B9273D" w:rsidRDefault="00287EA9" w:rsidP="00B9273D">
      <w:pPr>
        <w:tabs>
          <w:tab w:val="left" w:pos="3300"/>
        </w:tabs>
        <w:spacing w:line="312" w:lineRule="auto"/>
        <w:jc w:val="both"/>
        <w:rPr>
          <w:rFonts w:ascii="Verdana" w:hAnsi="Verdana"/>
        </w:rPr>
      </w:pPr>
      <w:r w:rsidRPr="00B9273D">
        <w:rPr>
          <w:rFonts w:ascii="Verdana" w:hAnsi="Verdana"/>
        </w:rPr>
        <w:t xml:space="preserve">Εμβληματικός στόχος στο πλαίσιο του νέου σχεδιασμού αποτελεί το </w:t>
      </w:r>
      <w:r w:rsidRPr="00B9273D">
        <w:rPr>
          <w:rFonts w:ascii="Verdana" w:hAnsi="Verdana"/>
          <w:b/>
        </w:rPr>
        <w:t xml:space="preserve">φιλόδοξο μεν, ρεαλιστικό δε πρόγραμμα για την </w:t>
      </w:r>
      <w:proofErr w:type="spellStart"/>
      <w:r w:rsidRPr="00B9273D">
        <w:rPr>
          <w:rFonts w:ascii="Verdana" w:hAnsi="Verdana"/>
          <w:b/>
        </w:rPr>
        <w:t>εμπροσθοβαρή</w:t>
      </w:r>
      <w:proofErr w:type="spellEnd"/>
      <w:r w:rsidRPr="00B9273D">
        <w:rPr>
          <w:rFonts w:ascii="Verdana" w:hAnsi="Verdana"/>
          <w:b/>
        </w:rPr>
        <w:t xml:space="preserve"> </w:t>
      </w:r>
      <w:proofErr w:type="spellStart"/>
      <w:r w:rsidRPr="00B9273D">
        <w:rPr>
          <w:rFonts w:ascii="Verdana" w:hAnsi="Verdana"/>
          <w:b/>
        </w:rPr>
        <w:t>απολιγνιτοποίηση</w:t>
      </w:r>
      <w:proofErr w:type="spellEnd"/>
      <w:r w:rsidRPr="00B9273D">
        <w:rPr>
          <w:rFonts w:ascii="Verdana" w:hAnsi="Verdana"/>
          <w:b/>
        </w:rPr>
        <w:t xml:space="preserve"> της χώρας, με πλήρη «απόσυρση» του εν λόγω καυσίμου από το εγχώριο σύστημα ηλεκτροπαραγωγής έως το </w:t>
      </w:r>
      <w:r w:rsidR="00420DCE" w:rsidRPr="00B9273D">
        <w:rPr>
          <w:rFonts w:ascii="Verdana" w:hAnsi="Verdana"/>
          <w:b/>
        </w:rPr>
        <w:t>2028.</w:t>
      </w:r>
    </w:p>
    <w:p w:rsidR="00420DCE" w:rsidRPr="00B9273D" w:rsidRDefault="00420DCE" w:rsidP="00B9273D">
      <w:pPr>
        <w:spacing w:line="312" w:lineRule="auto"/>
        <w:jc w:val="both"/>
        <w:rPr>
          <w:rFonts w:ascii="Verdana" w:hAnsi="Verdana"/>
        </w:rPr>
      </w:pPr>
      <w:r w:rsidRPr="00B9273D">
        <w:rPr>
          <w:rFonts w:ascii="Verdana" w:hAnsi="Verdana"/>
        </w:rPr>
        <w:t xml:space="preserve">Η απόσυρση όλων των </w:t>
      </w:r>
      <w:proofErr w:type="spellStart"/>
      <w:r w:rsidRPr="00B9273D">
        <w:rPr>
          <w:rFonts w:ascii="Verdana" w:hAnsi="Verdana"/>
        </w:rPr>
        <w:t>λιγνιτικών</w:t>
      </w:r>
      <w:proofErr w:type="spellEnd"/>
      <w:r w:rsidRPr="00B9273D">
        <w:rPr>
          <w:rFonts w:ascii="Verdana" w:hAnsi="Verdana"/>
        </w:rPr>
        <w:t xml:space="preserve"> μονάδων μέχρι το έτος 2028 θα γίνει συντεταγμένα και υπεύθυνα. Απόλυτη προτεραιότητα της Κυβέρνησης είναι </w:t>
      </w:r>
      <w:r w:rsidRPr="00B9273D">
        <w:rPr>
          <w:rFonts w:ascii="Verdana" w:hAnsi="Verdana"/>
        </w:rPr>
        <w:lastRenderedPageBreak/>
        <w:t xml:space="preserve">η μετάβαση στην </w:t>
      </w:r>
      <w:proofErr w:type="spellStart"/>
      <w:r w:rsidRPr="00B9273D">
        <w:rPr>
          <w:rFonts w:ascii="Verdana" w:hAnsi="Verdana"/>
        </w:rPr>
        <w:t>μεταλιγνιτική</w:t>
      </w:r>
      <w:proofErr w:type="spellEnd"/>
      <w:r w:rsidRPr="00B9273D">
        <w:rPr>
          <w:rFonts w:ascii="Verdana" w:hAnsi="Verdana"/>
        </w:rPr>
        <w:t xml:space="preserve"> εποχή να γίνει με τρόπο δίκαιο για τις περιοχές της Δυτικής Μακεδονίας και της Μεγαλόπολης.</w:t>
      </w:r>
    </w:p>
    <w:p w:rsidR="00420DCE" w:rsidRPr="00B9273D" w:rsidRDefault="00420DCE" w:rsidP="00B9273D">
      <w:pPr>
        <w:spacing w:line="312" w:lineRule="auto"/>
        <w:jc w:val="both"/>
        <w:rPr>
          <w:rFonts w:ascii="Verdana" w:hAnsi="Verdana"/>
        </w:rPr>
      </w:pPr>
      <w:r w:rsidRPr="00B9273D">
        <w:rPr>
          <w:rFonts w:ascii="Verdana" w:hAnsi="Verdana"/>
        </w:rPr>
        <w:t xml:space="preserve">Για το λόγο αυτό, και υπό την αιγίδα μιας διυπουργικής επιτροπής, θα εκπονηθεί και </w:t>
      </w:r>
      <w:r w:rsidRPr="00B9273D">
        <w:rPr>
          <w:rFonts w:ascii="Verdana" w:hAnsi="Verdana"/>
          <w:b/>
        </w:rPr>
        <w:t>θα παρουσιαστεί στα μέσα του 2020 ένα ολοκληρωμένο Σχέδιο Δίκαιης Αναπτυξιακής Μετάβασης (</w:t>
      </w:r>
      <w:r w:rsidRPr="00B9273D">
        <w:rPr>
          <w:rFonts w:ascii="Verdana" w:hAnsi="Verdana"/>
          <w:b/>
          <w:lang w:val="en-US"/>
        </w:rPr>
        <w:t>Master</w:t>
      </w:r>
      <w:r w:rsidRPr="00B9273D">
        <w:rPr>
          <w:rFonts w:ascii="Verdana" w:hAnsi="Verdana"/>
          <w:b/>
        </w:rPr>
        <w:t xml:space="preserve"> </w:t>
      </w:r>
      <w:r w:rsidRPr="00B9273D">
        <w:rPr>
          <w:rFonts w:ascii="Verdana" w:hAnsi="Verdana"/>
          <w:b/>
          <w:lang w:val="en-US"/>
        </w:rPr>
        <w:t>Plan</w:t>
      </w:r>
      <w:r w:rsidRPr="00B9273D">
        <w:rPr>
          <w:rFonts w:ascii="Verdana" w:hAnsi="Verdana"/>
          <w:b/>
        </w:rPr>
        <w:t>)</w:t>
      </w:r>
      <w:r w:rsidRPr="00B9273D">
        <w:rPr>
          <w:rFonts w:ascii="Verdana" w:hAnsi="Verdana"/>
        </w:rPr>
        <w:t xml:space="preserve"> που θα αποτελεί τον αναπτυξιακό οδικό χάρτη στην μετά τον λιγνίτη εποχή. </w:t>
      </w:r>
    </w:p>
    <w:p w:rsidR="00420DCE" w:rsidRPr="00B9273D" w:rsidRDefault="00420DCE" w:rsidP="00B9273D">
      <w:pPr>
        <w:spacing w:line="312" w:lineRule="auto"/>
        <w:jc w:val="both"/>
        <w:rPr>
          <w:rFonts w:ascii="Verdana" w:hAnsi="Verdana"/>
        </w:rPr>
      </w:pPr>
      <w:r w:rsidRPr="00B9273D">
        <w:rPr>
          <w:rFonts w:ascii="Verdana" w:hAnsi="Verdana"/>
        </w:rPr>
        <w:t xml:space="preserve">Αυτό θα περιλαμβάνει ένα πλέγμα μέτρων και προβλέψεων που θα αφορούν, μεταξύ άλλων: </w:t>
      </w:r>
      <w:r w:rsidRPr="00B9273D">
        <w:rPr>
          <w:rFonts w:ascii="Verdana" w:hAnsi="Verdana"/>
          <w:b/>
        </w:rPr>
        <w:t>επενδυτικά και φορολογικά κίνητρα, νέες υποδομές, αξιοποίηση των τοπικών φυσικών πόρων, την στήριξη της αγροτικής παραγωγής και του τουρισμού, την μετεκπαίδευση των εργαζομένων, την εξασφάλιση των θέσεων εργασίας και την δημιουργία νέων</w:t>
      </w:r>
      <w:r w:rsidRPr="00B9273D">
        <w:rPr>
          <w:rFonts w:ascii="Verdana" w:hAnsi="Verdana"/>
        </w:rPr>
        <w:t xml:space="preserve"> μέσω ενός ευέλικτου αναπτυξιακού μετασχηματισμού και της ανάπτυξης όλων των τομέων της παραγωγής.</w:t>
      </w:r>
    </w:p>
    <w:p w:rsidR="00420DCE" w:rsidRPr="00B9273D" w:rsidRDefault="00420DCE" w:rsidP="00B9273D">
      <w:pPr>
        <w:spacing w:line="312" w:lineRule="auto"/>
        <w:jc w:val="both"/>
        <w:rPr>
          <w:rFonts w:ascii="Verdana" w:hAnsi="Verdana"/>
        </w:rPr>
      </w:pPr>
      <w:r w:rsidRPr="00B9273D">
        <w:rPr>
          <w:rFonts w:ascii="Verdana" w:hAnsi="Verdana"/>
        </w:rPr>
        <w:t xml:space="preserve">Το ότι η παρουσίαση Σχεδίου θα γίνει μέσα στο 2020 δεν σημαίνει φυσικά ότι δεν έχουν εξελίσσονται ήδη </w:t>
      </w:r>
      <w:proofErr w:type="spellStart"/>
      <w:r w:rsidRPr="00B9273D">
        <w:rPr>
          <w:rFonts w:ascii="Verdana" w:hAnsi="Verdana"/>
        </w:rPr>
        <w:t>στοχευμένες</w:t>
      </w:r>
      <w:proofErr w:type="spellEnd"/>
      <w:r w:rsidRPr="00B9273D">
        <w:rPr>
          <w:rFonts w:ascii="Verdana" w:hAnsi="Verdana"/>
        </w:rPr>
        <w:t xml:space="preserve"> παρεμβάσεις προς όφελος των υπό μετάβαση περιοχών. </w:t>
      </w:r>
    </w:p>
    <w:p w:rsidR="00420DCE" w:rsidRPr="00B9273D" w:rsidRDefault="00420DCE" w:rsidP="00B9273D">
      <w:pPr>
        <w:spacing w:line="312" w:lineRule="auto"/>
        <w:jc w:val="both"/>
        <w:rPr>
          <w:rFonts w:ascii="Verdana" w:hAnsi="Verdana"/>
          <w:b/>
        </w:rPr>
      </w:pPr>
      <w:r w:rsidRPr="00B9273D">
        <w:rPr>
          <w:rFonts w:ascii="Verdana" w:hAnsi="Verdana"/>
          <w:b/>
        </w:rPr>
        <w:t>Έχουν αναληφθεί οι απαραίτητες πρωτοβουλίες για να αποδοθεί στις ενεργειακές περιοχές το τέλος ανάπτυξης της ΔΕΗ, ένα ποσό κοντά στα 130 εκατομμύρια ευρώ που τους οφείλεται από το 2014, ενώ οι περιοχές αυτές θα συνεχίσουν να λαμβάνουν χρηματοδότηση από τα έσοδα πλειστηριασμών δικαιωμάτων εκπομπών αερίων του θερμοκηπίου μέσω του Πράσινου Ταμείου.</w:t>
      </w:r>
    </w:p>
    <w:p w:rsidR="00420DCE" w:rsidRPr="00B9273D" w:rsidRDefault="00420DCE" w:rsidP="00B9273D">
      <w:pPr>
        <w:spacing w:line="312" w:lineRule="auto"/>
        <w:jc w:val="both"/>
        <w:rPr>
          <w:rFonts w:ascii="Verdana" w:hAnsi="Verdana"/>
        </w:rPr>
      </w:pPr>
      <w:r w:rsidRPr="00B9273D">
        <w:rPr>
          <w:rFonts w:ascii="Verdana" w:hAnsi="Verdana"/>
        </w:rPr>
        <w:t>Παράλληλα, στο πλαίσιο του νέου Ευρωπαϊκού Προϋπολογισμού για την περίοδο 2021-2027, θα διεκδικηθεί η αυξημένη εισροή κεφαλαίων από το νέο Ευρωπαϊκό Ταμείο Δίκαιης Μετάβασης (</w:t>
      </w:r>
      <w:proofErr w:type="spellStart"/>
      <w:r w:rsidRPr="00B9273D">
        <w:rPr>
          <w:rFonts w:ascii="Verdana" w:hAnsi="Verdana"/>
        </w:rPr>
        <w:t>Just</w:t>
      </w:r>
      <w:proofErr w:type="spellEnd"/>
      <w:r w:rsidRPr="00B9273D">
        <w:rPr>
          <w:rFonts w:ascii="Verdana" w:hAnsi="Verdana"/>
        </w:rPr>
        <w:t xml:space="preserve"> </w:t>
      </w:r>
      <w:proofErr w:type="spellStart"/>
      <w:r w:rsidRPr="00B9273D">
        <w:rPr>
          <w:rFonts w:ascii="Verdana" w:hAnsi="Verdana"/>
        </w:rPr>
        <w:t>Transition</w:t>
      </w:r>
      <w:proofErr w:type="spellEnd"/>
      <w:r w:rsidRPr="00B9273D">
        <w:rPr>
          <w:rFonts w:ascii="Verdana" w:hAnsi="Verdana"/>
        </w:rPr>
        <w:t xml:space="preserve"> Fund) διασφαλίζοντας ότι οι περιοχές της Δυτικής Μακεδονίας και της Μεγαλόπολης θα πληρούν τα κριτήρια χρηματοδότησης διαθέτοντας έργα σε προχωρημένο στάδιο ωρίμανσης. Σημαντικός προς αυτήν την κατεύθυνση θα είναι και ο ρόλος της Ευρωπαϊκής Τράπεζας Επενδύσεων που φιλοδοξεί να μετατραπεί σε μια «Κλιματική Τράπεζα». Επιπροσθέτως, κονδύλια από προγράμματα όπως το </w:t>
      </w:r>
      <w:proofErr w:type="spellStart"/>
      <w:r w:rsidRPr="00B9273D">
        <w:rPr>
          <w:rFonts w:ascii="Verdana" w:hAnsi="Verdana"/>
        </w:rPr>
        <w:t>Horizon</w:t>
      </w:r>
      <w:proofErr w:type="spellEnd"/>
      <w:r w:rsidRPr="00B9273D">
        <w:rPr>
          <w:rFonts w:ascii="Verdana" w:hAnsi="Verdana"/>
        </w:rPr>
        <w:t xml:space="preserve">, το </w:t>
      </w:r>
      <w:proofErr w:type="spellStart"/>
      <w:r w:rsidRPr="00B9273D">
        <w:rPr>
          <w:rFonts w:ascii="Verdana" w:hAnsi="Verdana"/>
        </w:rPr>
        <w:t>Connecting</w:t>
      </w:r>
      <w:proofErr w:type="spellEnd"/>
      <w:r w:rsidRPr="00B9273D">
        <w:rPr>
          <w:rFonts w:ascii="Verdana" w:hAnsi="Verdana"/>
        </w:rPr>
        <w:t xml:space="preserve"> Europe </w:t>
      </w:r>
      <w:proofErr w:type="spellStart"/>
      <w:r w:rsidRPr="00B9273D">
        <w:rPr>
          <w:rFonts w:ascii="Verdana" w:hAnsi="Verdana"/>
        </w:rPr>
        <w:t>Facility</w:t>
      </w:r>
      <w:proofErr w:type="spellEnd"/>
      <w:r w:rsidRPr="00B9273D">
        <w:rPr>
          <w:rFonts w:ascii="Verdana" w:hAnsi="Verdana"/>
        </w:rPr>
        <w:t xml:space="preserve"> και το </w:t>
      </w:r>
      <w:proofErr w:type="spellStart"/>
      <w:r w:rsidRPr="00B9273D">
        <w:rPr>
          <w:rFonts w:ascii="Verdana" w:hAnsi="Verdana"/>
        </w:rPr>
        <w:t>Invest</w:t>
      </w:r>
      <w:proofErr w:type="spellEnd"/>
      <w:r w:rsidRPr="00B9273D">
        <w:rPr>
          <w:rFonts w:ascii="Verdana" w:hAnsi="Verdana"/>
        </w:rPr>
        <w:t xml:space="preserve"> EU θα υποστηρίξουν αυτήν την προσπάθεια.</w:t>
      </w:r>
    </w:p>
    <w:p w:rsidR="00E06DAC" w:rsidRDefault="00E06DAC">
      <w:pPr>
        <w:rPr>
          <w:rFonts w:ascii="Verdana" w:hAnsi="Verdana"/>
          <w:b/>
          <w:sz w:val="24"/>
          <w:szCs w:val="24"/>
          <w:u w:val="single"/>
        </w:rPr>
      </w:pPr>
      <w:r>
        <w:rPr>
          <w:rFonts w:ascii="Verdana" w:hAnsi="Verdana"/>
          <w:b/>
          <w:sz w:val="24"/>
          <w:szCs w:val="24"/>
          <w:u w:val="single"/>
        </w:rPr>
        <w:br w:type="page"/>
      </w:r>
    </w:p>
    <w:p w:rsidR="00420DCE" w:rsidRPr="00420DCE" w:rsidRDefault="00420DCE" w:rsidP="00D37BCC">
      <w:pPr>
        <w:tabs>
          <w:tab w:val="left" w:pos="3300"/>
        </w:tabs>
        <w:rPr>
          <w:rFonts w:ascii="Verdana" w:hAnsi="Verdana"/>
          <w:b/>
          <w:sz w:val="24"/>
          <w:szCs w:val="24"/>
          <w:u w:val="single"/>
        </w:rPr>
      </w:pPr>
      <w:r w:rsidRPr="00420DCE">
        <w:rPr>
          <w:rFonts w:ascii="Verdana" w:hAnsi="Verdana"/>
          <w:b/>
          <w:sz w:val="24"/>
          <w:szCs w:val="24"/>
          <w:u w:val="single"/>
        </w:rPr>
        <w:lastRenderedPageBreak/>
        <w:t xml:space="preserve">ΑΥΞΗΜΕΝΗ ΔΙΕΙΣΔΥΣΗ </w:t>
      </w:r>
      <w:r w:rsidR="00B9273D">
        <w:rPr>
          <w:rFonts w:ascii="Verdana" w:hAnsi="Verdana"/>
          <w:b/>
          <w:sz w:val="24"/>
          <w:szCs w:val="24"/>
          <w:u w:val="single"/>
        </w:rPr>
        <w:t xml:space="preserve"> </w:t>
      </w:r>
      <w:r w:rsidRPr="00420DCE">
        <w:rPr>
          <w:rFonts w:ascii="Verdana" w:hAnsi="Verdana"/>
          <w:b/>
          <w:sz w:val="24"/>
          <w:szCs w:val="24"/>
          <w:u w:val="single"/>
        </w:rPr>
        <w:t>ΑΠΕ</w:t>
      </w:r>
    </w:p>
    <w:p w:rsidR="00420DCE" w:rsidRDefault="00420DCE" w:rsidP="00D37BCC">
      <w:pPr>
        <w:tabs>
          <w:tab w:val="left" w:pos="3300"/>
        </w:tabs>
        <w:rPr>
          <w:rFonts w:ascii="Verdana" w:hAnsi="Verdana"/>
          <w:sz w:val="24"/>
          <w:szCs w:val="24"/>
        </w:rPr>
      </w:pPr>
    </w:p>
    <w:p w:rsidR="00A53DD7" w:rsidRPr="00B9273D" w:rsidRDefault="00EC67AD" w:rsidP="00B9273D">
      <w:pPr>
        <w:tabs>
          <w:tab w:val="left" w:pos="3300"/>
        </w:tabs>
        <w:spacing w:line="312" w:lineRule="auto"/>
        <w:jc w:val="both"/>
        <w:rPr>
          <w:rFonts w:ascii="Verdana" w:hAnsi="Verdana"/>
        </w:rPr>
      </w:pPr>
      <w:r w:rsidRPr="00B9273D">
        <w:rPr>
          <w:rFonts w:ascii="Verdana" w:hAnsi="Verdana"/>
        </w:rPr>
        <w:t xml:space="preserve">Αναθεωρείται ο στόχος για συμμετοχή των ΑΠΕ στην ακαθάριστη τελική κατανάλωση ενέργειας στο 35% έως το 2030, επίπεδο σχεδόν </w:t>
      </w:r>
      <w:r w:rsidR="00D24F60" w:rsidRPr="00B9273D">
        <w:rPr>
          <w:rFonts w:ascii="Verdana" w:hAnsi="Verdana"/>
        </w:rPr>
        <w:t xml:space="preserve">διπλάσια από τα σημερινό επίπεδο του </w:t>
      </w:r>
      <w:r w:rsidRPr="00B9273D">
        <w:rPr>
          <w:rFonts w:ascii="Verdana" w:hAnsi="Verdana"/>
        </w:rPr>
        <w:t xml:space="preserve">18%. </w:t>
      </w:r>
      <w:r w:rsidR="00A53DD7" w:rsidRPr="00B9273D">
        <w:rPr>
          <w:rFonts w:ascii="Verdana" w:hAnsi="Verdana"/>
        </w:rPr>
        <w:t xml:space="preserve">Η σημαντικά υψηλότερη συμμετοχή ΑΠΕ συνδέεται προφανώς με τη δέσμευση για οριστική απόσυρση των </w:t>
      </w:r>
      <w:proofErr w:type="spellStart"/>
      <w:r w:rsidR="00A53DD7" w:rsidRPr="00B9273D">
        <w:rPr>
          <w:rFonts w:ascii="Verdana" w:hAnsi="Verdana"/>
        </w:rPr>
        <w:t>λιγνιτικών</w:t>
      </w:r>
      <w:proofErr w:type="spellEnd"/>
      <w:r w:rsidR="00A53DD7" w:rsidRPr="00B9273D">
        <w:rPr>
          <w:rFonts w:ascii="Verdana" w:hAnsi="Verdana"/>
        </w:rPr>
        <w:t xml:space="preserve"> μονάδων έως το 2028, απόφαση που δημιουργεί χώρο για επιπλέον εγκατάσταση μονάδων ΑΠΕ, ενώ ενισχύει τον ρόλο των μονάδ</w:t>
      </w:r>
      <w:r w:rsidR="00287EA9" w:rsidRPr="00B9273D">
        <w:rPr>
          <w:rFonts w:ascii="Verdana" w:hAnsi="Verdana"/>
        </w:rPr>
        <w:t>ων φυσικού αερίου που θα παρέχουν και την απαραίτητη ευελιξία στο σύστημα.</w:t>
      </w:r>
    </w:p>
    <w:p w:rsidR="00D24F60" w:rsidRPr="00B9273D" w:rsidRDefault="00D24F60" w:rsidP="00B9273D">
      <w:pPr>
        <w:tabs>
          <w:tab w:val="left" w:pos="3300"/>
        </w:tabs>
        <w:spacing w:line="312" w:lineRule="auto"/>
        <w:jc w:val="both"/>
        <w:rPr>
          <w:rFonts w:ascii="Verdana" w:hAnsi="Verdana"/>
        </w:rPr>
      </w:pPr>
      <w:r w:rsidRPr="00B9273D">
        <w:rPr>
          <w:rFonts w:ascii="Verdana" w:hAnsi="Verdana"/>
        </w:rPr>
        <w:t>Πρέπει να σημειω</w:t>
      </w:r>
      <w:r w:rsidR="00D3096C" w:rsidRPr="00B9273D">
        <w:rPr>
          <w:rFonts w:ascii="Verdana" w:hAnsi="Verdana"/>
        </w:rPr>
        <w:t xml:space="preserve">θεί ότι η </w:t>
      </w:r>
      <w:r w:rsidR="00D3096C" w:rsidRPr="003126D9">
        <w:rPr>
          <w:rFonts w:ascii="Verdana" w:hAnsi="Verdana"/>
          <w:b/>
        </w:rPr>
        <w:t>επίτευξη του κεντρικού στόχου για τις ΑΠΕ προϋποθέτει υπερδιπλασιασμό της εγκατεστημένης ισχύος του συνόλου των τεχνολογιών ΑΠΕ, εξαιρουμένων των μεγάλων υδροηλεκτρικών</w:t>
      </w:r>
      <w:r w:rsidR="00D3096C" w:rsidRPr="00B9273D">
        <w:rPr>
          <w:rFonts w:ascii="Verdana" w:hAnsi="Verdana"/>
        </w:rPr>
        <w:t xml:space="preserve">. </w:t>
      </w:r>
    </w:p>
    <w:p w:rsidR="00E06DAC" w:rsidRPr="00E06DAC" w:rsidRDefault="00EC67AD" w:rsidP="00E06DAC">
      <w:pPr>
        <w:tabs>
          <w:tab w:val="left" w:pos="3300"/>
        </w:tabs>
        <w:spacing w:line="312" w:lineRule="auto"/>
        <w:jc w:val="both"/>
        <w:rPr>
          <w:rFonts w:ascii="Verdana" w:hAnsi="Verdana"/>
          <w:b/>
        </w:rPr>
      </w:pPr>
      <w:r w:rsidRPr="00B9273D">
        <w:rPr>
          <w:rFonts w:ascii="Verdana" w:hAnsi="Verdana"/>
        </w:rPr>
        <w:t xml:space="preserve">Ειδικά στον τομέα της ηλεκτροπαραγωγής οι ΑΠΕ θα αποτελούν τη βασική πηγή ήδη από τα μέσα της επόμενης δεκαετίας, ξεπερνώντας ως μερίδιο το 65% της εγχώριας ηλεκτροπαραγωγής μέχρι το 2030, αξιοποιώντας με τον βέλτιστο οικονομικά τρόπο το υψηλό δυναμικό που διαθέτει χώρα, κυρίως για ειδικούς και </w:t>
      </w:r>
      <w:proofErr w:type="spellStart"/>
      <w:r w:rsidRPr="00B9273D">
        <w:rPr>
          <w:rFonts w:ascii="Verdana" w:hAnsi="Verdana"/>
        </w:rPr>
        <w:t>φωτοβολταϊκούς</w:t>
      </w:r>
      <w:proofErr w:type="spellEnd"/>
      <w:r w:rsidRPr="00B9273D">
        <w:rPr>
          <w:rFonts w:ascii="Verdana" w:hAnsi="Verdana"/>
        </w:rPr>
        <w:t xml:space="preserve"> σταθμούς.</w:t>
      </w:r>
      <w:r w:rsidR="00D3096C" w:rsidRPr="00B9273D">
        <w:rPr>
          <w:rFonts w:ascii="Verdana" w:hAnsi="Verdana"/>
        </w:rPr>
        <w:t xml:space="preserve"> Πρέπει να σημειωθεί ότι, όσον αφορά στα </w:t>
      </w:r>
      <w:r w:rsidR="00D3096C" w:rsidRPr="003126D9">
        <w:rPr>
          <w:rFonts w:ascii="Verdana" w:hAnsi="Verdana"/>
          <w:b/>
        </w:rPr>
        <w:t>θαλάσσια αιολικά πάρκα, τίθεται ως ενδεικτικός στό</w:t>
      </w:r>
      <w:r w:rsidR="009272C1" w:rsidRPr="003126D9">
        <w:rPr>
          <w:rFonts w:ascii="Verdana" w:hAnsi="Verdana"/>
          <w:b/>
        </w:rPr>
        <w:t xml:space="preserve">χος το 2030 να λειτουργούν τέτοια πάρκα συνολικής εγκατεστημένης ισχύος της τάξης των 250 </w:t>
      </w:r>
      <w:r w:rsidR="009272C1" w:rsidRPr="003126D9">
        <w:rPr>
          <w:rFonts w:ascii="Verdana" w:hAnsi="Verdana"/>
          <w:b/>
          <w:lang w:val="en-US"/>
        </w:rPr>
        <w:t>MW</w:t>
      </w:r>
      <w:r w:rsidR="009272C1" w:rsidRPr="003126D9">
        <w:rPr>
          <w:rFonts w:ascii="Verdana" w:hAnsi="Verdana"/>
          <w:b/>
        </w:rPr>
        <w:t>.</w:t>
      </w:r>
    </w:p>
    <w:p w:rsidR="009272C1" w:rsidRPr="00E06DAC" w:rsidRDefault="009272C1" w:rsidP="00E06DAC">
      <w:pPr>
        <w:tabs>
          <w:tab w:val="left" w:pos="3300"/>
        </w:tabs>
        <w:spacing w:line="312" w:lineRule="auto"/>
        <w:jc w:val="both"/>
        <w:rPr>
          <w:rFonts w:ascii="Verdana" w:hAnsi="Verdana"/>
          <w:b/>
        </w:rPr>
      </w:pPr>
      <w:r w:rsidRPr="009272C1">
        <w:rPr>
          <w:rFonts w:ascii="Verdana" w:hAnsi="Verdana"/>
          <w:b/>
          <w:sz w:val="20"/>
          <w:szCs w:val="20"/>
        </w:rPr>
        <w:t>Εξέλιξη εγκατεστημένης ισχύος μονάδων ΑΠΕ για ηλεκτροπαραγωγή</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980"/>
        <w:gridCol w:w="980"/>
        <w:gridCol w:w="980"/>
        <w:gridCol w:w="1000"/>
        <w:gridCol w:w="1000"/>
      </w:tblGrid>
      <w:tr w:rsidR="009272C1" w:rsidRPr="00927C6C" w:rsidTr="00042CC8">
        <w:trPr>
          <w:trHeight w:hRule="exact" w:val="712"/>
          <w:tblHeader/>
          <w:jc w:val="center"/>
        </w:trPr>
        <w:tc>
          <w:tcPr>
            <w:tcW w:w="3544" w:type="dxa"/>
            <w:shd w:val="clear" w:color="auto" w:fill="BFBFBF" w:themeFill="background1" w:themeFillShade="BF"/>
            <w:vAlign w:val="center"/>
            <w:hideMark/>
          </w:tcPr>
          <w:p w:rsidR="009272C1" w:rsidRPr="009272C1" w:rsidRDefault="009272C1" w:rsidP="00042CC8">
            <w:pPr>
              <w:spacing w:after="0" w:line="240" w:lineRule="auto"/>
              <w:jc w:val="center"/>
              <w:rPr>
                <w:rFonts w:ascii="Verdana" w:eastAsia="Times New Roman" w:hAnsi="Verdana" w:cs="Calibri"/>
                <w:b/>
                <w:bCs/>
                <w:lang w:val="de-DE" w:eastAsia="de-DE"/>
              </w:rPr>
            </w:pPr>
            <w:proofErr w:type="spellStart"/>
            <w:r w:rsidRPr="009272C1">
              <w:rPr>
                <w:rFonts w:ascii="Verdana" w:eastAsia="Times New Roman" w:hAnsi="Verdana" w:cs="Calibri"/>
                <w:b/>
                <w:bCs/>
                <w:lang w:val="de-DE" w:eastAsia="de-DE"/>
              </w:rPr>
              <w:t>Ηλεκτρο</w:t>
            </w:r>
            <w:proofErr w:type="spellEnd"/>
            <w:r w:rsidRPr="009272C1">
              <w:rPr>
                <w:rFonts w:ascii="Verdana" w:eastAsia="Times New Roman" w:hAnsi="Verdana" w:cs="Calibri"/>
                <w:b/>
                <w:bCs/>
                <w:lang w:val="de-DE" w:eastAsia="de-DE"/>
              </w:rPr>
              <w:t xml:space="preserve">παραγωγή -                                           </w:t>
            </w:r>
            <w:proofErr w:type="spellStart"/>
            <w:r w:rsidRPr="009272C1">
              <w:rPr>
                <w:rFonts w:ascii="Verdana" w:eastAsia="Times New Roman" w:hAnsi="Verdana" w:cs="Calibri"/>
                <w:b/>
                <w:bCs/>
                <w:lang w:val="de-DE" w:eastAsia="de-DE"/>
              </w:rPr>
              <w:t>Εγκ</w:t>
            </w:r>
            <w:proofErr w:type="spellEnd"/>
            <w:r w:rsidRPr="009272C1">
              <w:rPr>
                <w:rFonts w:ascii="Verdana" w:eastAsia="Times New Roman" w:hAnsi="Verdana" w:cs="Calibri"/>
                <w:b/>
                <w:bCs/>
                <w:lang w:val="de-DE" w:eastAsia="de-DE"/>
              </w:rPr>
              <w:t xml:space="preserve">ατεστημένη </w:t>
            </w:r>
            <w:proofErr w:type="spellStart"/>
            <w:r w:rsidRPr="009272C1">
              <w:rPr>
                <w:rFonts w:ascii="Verdana" w:eastAsia="Times New Roman" w:hAnsi="Verdana" w:cs="Calibri"/>
                <w:b/>
                <w:bCs/>
                <w:lang w:val="de-DE" w:eastAsia="de-DE"/>
              </w:rPr>
              <w:t>Ισχύς</w:t>
            </w:r>
            <w:proofErr w:type="spellEnd"/>
            <w:r w:rsidRPr="009272C1">
              <w:rPr>
                <w:rFonts w:ascii="Verdana" w:eastAsia="Times New Roman" w:hAnsi="Verdana" w:cs="Calibri"/>
                <w:b/>
                <w:bCs/>
                <w:lang w:val="de-DE" w:eastAsia="de-DE"/>
              </w:rPr>
              <w:t xml:space="preserve"> [GW]</w:t>
            </w:r>
          </w:p>
        </w:tc>
        <w:tc>
          <w:tcPr>
            <w:tcW w:w="980" w:type="dxa"/>
            <w:shd w:val="clear" w:color="auto" w:fill="BFBFBF" w:themeFill="background1" w:themeFillShade="BF"/>
            <w:noWrap/>
            <w:vAlign w:val="center"/>
            <w:hideMark/>
          </w:tcPr>
          <w:p w:rsidR="009272C1" w:rsidRPr="009272C1" w:rsidRDefault="009272C1" w:rsidP="00042CC8">
            <w:pPr>
              <w:spacing w:after="0" w:line="240" w:lineRule="auto"/>
              <w:jc w:val="center"/>
              <w:rPr>
                <w:rFonts w:ascii="Verdana" w:eastAsia="Times New Roman" w:hAnsi="Verdana" w:cs="Calibri"/>
                <w:b/>
                <w:bCs/>
                <w:color w:val="000000"/>
                <w:lang w:val="de-DE" w:eastAsia="de-DE"/>
              </w:rPr>
            </w:pPr>
            <w:r w:rsidRPr="009272C1">
              <w:rPr>
                <w:rFonts w:ascii="Verdana" w:eastAsia="Times New Roman" w:hAnsi="Verdana" w:cs="Calibri"/>
                <w:b/>
                <w:bCs/>
                <w:color w:val="000000"/>
                <w:lang w:val="de-DE" w:eastAsia="de-DE"/>
              </w:rPr>
              <w:t>2020</w:t>
            </w:r>
          </w:p>
        </w:tc>
        <w:tc>
          <w:tcPr>
            <w:tcW w:w="980" w:type="dxa"/>
            <w:shd w:val="clear" w:color="auto" w:fill="BFBFBF" w:themeFill="background1" w:themeFillShade="BF"/>
            <w:noWrap/>
            <w:vAlign w:val="center"/>
            <w:hideMark/>
          </w:tcPr>
          <w:p w:rsidR="009272C1" w:rsidRPr="009272C1" w:rsidRDefault="009272C1" w:rsidP="00042CC8">
            <w:pPr>
              <w:spacing w:after="0" w:line="240" w:lineRule="auto"/>
              <w:jc w:val="center"/>
              <w:rPr>
                <w:rFonts w:ascii="Verdana" w:eastAsia="Times New Roman" w:hAnsi="Verdana" w:cs="Calibri"/>
                <w:b/>
                <w:bCs/>
                <w:color w:val="000000"/>
                <w:lang w:val="de-DE" w:eastAsia="de-DE"/>
              </w:rPr>
            </w:pPr>
            <w:r w:rsidRPr="009272C1">
              <w:rPr>
                <w:rFonts w:ascii="Verdana" w:eastAsia="Times New Roman" w:hAnsi="Verdana" w:cs="Calibri"/>
                <w:b/>
                <w:bCs/>
                <w:color w:val="000000"/>
                <w:lang w:val="de-DE" w:eastAsia="de-DE"/>
              </w:rPr>
              <w:t>2022</w:t>
            </w:r>
          </w:p>
        </w:tc>
        <w:tc>
          <w:tcPr>
            <w:tcW w:w="980" w:type="dxa"/>
            <w:shd w:val="clear" w:color="auto" w:fill="BFBFBF" w:themeFill="background1" w:themeFillShade="BF"/>
            <w:noWrap/>
            <w:vAlign w:val="center"/>
            <w:hideMark/>
          </w:tcPr>
          <w:p w:rsidR="009272C1" w:rsidRPr="009272C1" w:rsidRDefault="009272C1" w:rsidP="00042CC8">
            <w:pPr>
              <w:spacing w:after="0" w:line="240" w:lineRule="auto"/>
              <w:jc w:val="center"/>
              <w:rPr>
                <w:rFonts w:ascii="Verdana" w:eastAsia="Times New Roman" w:hAnsi="Verdana" w:cs="Calibri"/>
                <w:b/>
                <w:bCs/>
                <w:color w:val="000000"/>
                <w:lang w:val="de-DE" w:eastAsia="de-DE"/>
              </w:rPr>
            </w:pPr>
            <w:r w:rsidRPr="009272C1">
              <w:rPr>
                <w:rFonts w:ascii="Verdana" w:eastAsia="Times New Roman" w:hAnsi="Verdana" w:cs="Calibri"/>
                <w:b/>
                <w:bCs/>
                <w:color w:val="000000"/>
                <w:lang w:val="de-DE" w:eastAsia="de-DE"/>
              </w:rPr>
              <w:t>2025</w:t>
            </w:r>
          </w:p>
        </w:tc>
        <w:tc>
          <w:tcPr>
            <w:tcW w:w="1000" w:type="dxa"/>
            <w:shd w:val="clear" w:color="auto" w:fill="BFBFBF" w:themeFill="background1" w:themeFillShade="BF"/>
            <w:noWrap/>
            <w:vAlign w:val="center"/>
            <w:hideMark/>
          </w:tcPr>
          <w:p w:rsidR="009272C1" w:rsidRPr="009272C1" w:rsidRDefault="009272C1" w:rsidP="00042CC8">
            <w:pPr>
              <w:spacing w:after="0" w:line="240" w:lineRule="auto"/>
              <w:jc w:val="center"/>
              <w:rPr>
                <w:rFonts w:ascii="Verdana" w:eastAsia="Times New Roman" w:hAnsi="Verdana" w:cs="Calibri"/>
                <w:b/>
                <w:bCs/>
                <w:color w:val="000000"/>
                <w:lang w:val="de-DE" w:eastAsia="de-DE"/>
              </w:rPr>
            </w:pPr>
            <w:r w:rsidRPr="009272C1">
              <w:rPr>
                <w:rFonts w:ascii="Verdana" w:eastAsia="Times New Roman" w:hAnsi="Verdana" w:cs="Calibri"/>
                <w:b/>
                <w:bCs/>
                <w:color w:val="000000"/>
                <w:lang w:val="de-DE" w:eastAsia="de-DE"/>
              </w:rPr>
              <w:t>2027</w:t>
            </w:r>
          </w:p>
        </w:tc>
        <w:tc>
          <w:tcPr>
            <w:tcW w:w="1000" w:type="dxa"/>
            <w:shd w:val="clear" w:color="auto" w:fill="BFBFBF" w:themeFill="background1" w:themeFillShade="BF"/>
            <w:noWrap/>
            <w:vAlign w:val="center"/>
            <w:hideMark/>
          </w:tcPr>
          <w:p w:rsidR="009272C1" w:rsidRPr="009272C1" w:rsidRDefault="009272C1" w:rsidP="00042CC8">
            <w:pPr>
              <w:spacing w:after="0" w:line="240" w:lineRule="auto"/>
              <w:jc w:val="center"/>
              <w:rPr>
                <w:rFonts w:ascii="Verdana" w:eastAsia="Times New Roman" w:hAnsi="Verdana" w:cs="Calibri"/>
                <w:b/>
                <w:bCs/>
                <w:color w:val="000000"/>
                <w:lang w:val="de-DE" w:eastAsia="de-DE"/>
              </w:rPr>
            </w:pPr>
            <w:r w:rsidRPr="009272C1">
              <w:rPr>
                <w:rFonts w:ascii="Verdana" w:eastAsia="Times New Roman" w:hAnsi="Verdana" w:cs="Calibri"/>
                <w:b/>
                <w:bCs/>
                <w:color w:val="000000"/>
                <w:lang w:val="de-DE" w:eastAsia="de-DE"/>
              </w:rPr>
              <w:t>2030</w:t>
            </w:r>
          </w:p>
        </w:tc>
      </w:tr>
      <w:tr w:rsidR="009272C1" w:rsidRPr="003814E6" w:rsidTr="00042CC8">
        <w:trPr>
          <w:trHeight w:hRule="exact" w:val="432"/>
          <w:jc w:val="center"/>
        </w:trPr>
        <w:tc>
          <w:tcPr>
            <w:tcW w:w="3544"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proofErr w:type="spellStart"/>
            <w:r w:rsidRPr="009272C1">
              <w:rPr>
                <w:rFonts w:ascii="Verdana" w:eastAsia="Times New Roman" w:hAnsi="Verdana" w:cs="Calibri"/>
                <w:color w:val="000000"/>
                <w:lang w:val="de-DE" w:eastAsia="de-DE"/>
              </w:rPr>
              <w:t>Βιομάζ</w:t>
            </w:r>
            <w:proofErr w:type="spellEnd"/>
            <w:r w:rsidRPr="009272C1">
              <w:rPr>
                <w:rFonts w:ascii="Verdana" w:eastAsia="Times New Roman" w:hAnsi="Verdana" w:cs="Calibri"/>
                <w:color w:val="000000"/>
                <w:lang w:val="de-DE" w:eastAsia="de-DE"/>
              </w:rPr>
              <w:t>α &amp;</w:t>
            </w:r>
            <w:r w:rsidR="007D7525">
              <w:rPr>
                <w:rFonts w:ascii="Verdana" w:eastAsia="Times New Roman" w:hAnsi="Verdana" w:cs="Calibri"/>
                <w:color w:val="000000"/>
                <w:lang w:val="de-DE" w:eastAsia="de-DE"/>
              </w:rPr>
              <w:t xml:space="preserve"> </w:t>
            </w:r>
            <w:proofErr w:type="spellStart"/>
            <w:r w:rsidRPr="009272C1">
              <w:rPr>
                <w:rFonts w:ascii="Verdana" w:eastAsia="Times New Roman" w:hAnsi="Verdana" w:cs="Calibri"/>
                <w:color w:val="000000"/>
                <w:lang w:val="de-DE" w:eastAsia="de-DE"/>
              </w:rPr>
              <w:t>Βιο</w:t>
            </w:r>
            <w:proofErr w:type="spellEnd"/>
            <w:r w:rsidRPr="009272C1">
              <w:rPr>
                <w:rFonts w:ascii="Verdana" w:eastAsia="Times New Roman" w:hAnsi="Verdana" w:cs="Calibri"/>
                <w:color w:val="000000"/>
                <w:lang w:val="de-DE" w:eastAsia="de-DE"/>
              </w:rPr>
              <w:t>αέριο</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0,1</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0,1</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0,1</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0,2</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0,3</w:t>
            </w:r>
          </w:p>
        </w:tc>
      </w:tr>
      <w:tr w:rsidR="009272C1" w:rsidRPr="003814E6" w:rsidTr="00042CC8">
        <w:trPr>
          <w:trHeight w:hRule="exact" w:val="432"/>
          <w:jc w:val="center"/>
        </w:trPr>
        <w:tc>
          <w:tcPr>
            <w:tcW w:w="3544"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eastAsia="Times New Roman" w:hAnsi="Verdana" w:cs="Calibri"/>
                <w:color w:val="000000"/>
                <w:lang w:val="de-DE" w:eastAsia="de-DE"/>
              </w:rPr>
              <w:t>Υ/Η</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3,5</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3,8</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3,9</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3,9</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3,9</w:t>
            </w:r>
          </w:p>
        </w:tc>
      </w:tr>
      <w:tr w:rsidR="009272C1" w:rsidRPr="003814E6" w:rsidTr="00042CC8">
        <w:trPr>
          <w:trHeight w:hRule="exact" w:val="432"/>
          <w:jc w:val="center"/>
        </w:trPr>
        <w:tc>
          <w:tcPr>
            <w:tcW w:w="3544"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proofErr w:type="spellStart"/>
            <w:r w:rsidRPr="009272C1">
              <w:rPr>
                <w:rFonts w:ascii="Verdana" w:eastAsia="Times New Roman" w:hAnsi="Verdana" w:cs="Calibri"/>
                <w:color w:val="000000"/>
                <w:lang w:val="de-DE" w:eastAsia="de-DE"/>
              </w:rPr>
              <w:t>Αιολικά</w:t>
            </w:r>
            <w:proofErr w:type="spellEnd"/>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3,6</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4,2</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5,2</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6,0</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7,0</w:t>
            </w:r>
          </w:p>
        </w:tc>
      </w:tr>
      <w:tr w:rsidR="009272C1" w:rsidRPr="003814E6" w:rsidTr="00042CC8">
        <w:trPr>
          <w:trHeight w:hRule="exact" w:val="432"/>
          <w:jc w:val="center"/>
        </w:trPr>
        <w:tc>
          <w:tcPr>
            <w:tcW w:w="3544"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eastAsia="Times New Roman" w:hAnsi="Verdana" w:cs="Calibri"/>
                <w:color w:val="000000"/>
                <w:lang w:val="de-DE" w:eastAsia="de-DE"/>
              </w:rPr>
              <w:t>Φ/Β</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3,0</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3,9</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5,3</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6,3</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7,7</w:t>
            </w:r>
          </w:p>
        </w:tc>
      </w:tr>
      <w:tr w:rsidR="009272C1" w:rsidRPr="003814E6" w:rsidTr="00042CC8">
        <w:trPr>
          <w:trHeight w:hRule="exact" w:val="432"/>
          <w:jc w:val="center"/>
        </w:trPr>
        <w:tc>
          <w:tcPr>
            <w:tcW w:w="3544"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proofErr w:type="spellStart"/>
            <w:r w:rsidRPr="009272C1">
              <w:rPr>
                <w:rFonts w:ascii="Verdana" w:eastAsia="Times New Roman" w:hAnsi="Verdana" w:cs="Calibri"/>
                <w:color w:val="000000"/>
                <w:lang w:val="de-DE" w:eastAsia="de-DE"/>
              </w:rPr>
              <w:t>Ηλιοθερμικοί</w:t>
            </w:r>
            <w:proofErr w:type="spellEnd"/>
            <w:r>
              <w:rPr>
                <w:rFonts w:ascii="Verdana" w:eastAsia="Times New Roman" w:hAnsi="Verdana" w:cs="Calibri"/>
                <w:color w:val="000000"/>
                <w:lang w:val="de-DE" w:eastAsia="de-DE"/>
              </w:rPr>
              <w:t xml:space="preserve"> </w:t>
            </w:r>
            <w:proofErr w:type="spellStart"/>
            <w:r w:rsidRPr="009272C1">
              <w:rPr>
                <w:rFonts w:ascii="Verdana" w:eastAsia="Times New Roman" w:hAnsi="Verdana" w:cs="Calibri"/>
                <w:color w:val="000000"/>
                <w:lang w:val="de-DE" w:eastAsia="de-DE"/>
              </w:rPr>
              <w:t>στ</w:t>
            </w:r>
            <w:proofErr w:type="spellEnd"/>
            <w:r w:rsidRPr="009272C1">
              <w:rPr>
                <w:rFonts w:ascii="Verdana" w:eastAsia="Times New Roman" w:hAnsi="Verdana" w:cs="Calibri"/>
                <w:color w:val="000000"/>
                <w:lang w:val="de-DE" w:eastAsia="de-DE"/>
              </w:rPr>
              <w:t>αθμοί</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0,0</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0,0</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0,1</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0,1</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0,1</w:t>
            </w:r>
          </w:p>
        </w:tc>
      </w:tr>
      <w:tr w:rsidR="009272C1" w:rsidRPr="003814E6" w:rsidTr="00042CC8">
        <w:trPr>
          <w:trHeight w:hRule="exact" w:val="432"/>
          <w:jc w:val="center"/>
        </w:trPr>
        <w:tc>
          <w:tcPr>
            <w:tcW w:w="3544"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proofErr w:type="spellStart"/>
            <w:r w:rsidRPr="009272C1">
              <w:rPr>
                <w:rFonts w:ascii="Verdana" w:eastAsia="Times New Roman" w:hAnsi="Verdana" w:cs="Calibri"/>
                <w:color w:val="000000"/>
                <w:lang w:val="de-DE" w:eastAsia="de-DE"/>
              </w:rPr>
              <w:t>Γεωθερμί</w:t>
            </w:r>
            <w:proofErr w:type="spellEnd"/>
            <w:r w:rsidRPr="009272C1">
              <w:rPr>
                <w:rFonts w:ascii="Verdana" w:eastAsia="Times New Roman" w:hAnsi="Verdana" w:cs="Calibri"/>
                <w:color w:val="000000"/>
                <w:lang w:val="de-DE" w:eastAsia="de-DE"/>
              </w:rPr>
              <w:t>α</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0,0</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0,0</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0,0</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0,0</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color w:val="000000"/>
                <w:lang w:val="de-DE" w:eastAsia="de-DE"/>
              </w:rPr>
            </w:pPr>
            <w:r w:rsidRPr="009272C1">
              <w:rPr>
                <w:rFonts w:ascii="Verdana" w:hAnsi="Verdana"/>
              </w:rPr>
              <w:t>0,1</w:t>
            </w:r>
          </w:p>
        </w:tc>
      </w:tr>
      <w:tr w:rsidR="009272C1" w:rsidRPr="003814E6" w:rsidTr="00042CC8">
        <w:trPr>
          <w:trHeight w:hRule="exact" w:val="432"/>
          <w:jc w:val="center"/>
        </w:trPr>
        <w:tc>
          <w:tcPr>
            <w:tcW w:w="3544"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b/>
                <w:bCs/>
                <w:i/>
                <w:iCs/>
                <w:color w:val="000000"/>
                <w:lang w:val="de-DE" w:eastAsia="de-DE"/>
              </w:rPr>
            </w:pPr>
            <w:proofErr w:type="spellStart"/>
            <w:r w:rsidRPr="009272C1">
              <w:rPr>
                <w:rFonts w:ascii="Verdana" w:eastAsia="Times New Roman" w:hAnsi="Verdana" w:cs="Calibri"/>
                <w:b/>
                <w:bCs/>
                <w:i/>
                <w:iCs/>
                <w:color w:val="000000"/>
                <w:lang w:val="de-DE" w:eastAsia="de-DE"/>
              </w:rPr>
              <w:t>Σύνολο</w:t>
            </w:r>
            <w:proofErr w:type="spellEnd"/>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b/>
                <w:bCs/>
                <w:i/>
                <w:iCs/>
                <w:color w:val="000000"/>
                <w:lang w:val="de-DE" w:eastAsia="de-DE"/>
              </w:rPr>
            </w:pPr>
            <w:r w:rsidRPr="009272C1">
              <w:rPr>
                <w:rFonts w:ascii="Verdana" w:hAnsi="Verdana"/>
                <w:b/>
              </w:rPr>
              <w:t>10,2</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b/>
                <w:bCs/>
                <w:i/>
                <w:iCs/>
                <w:color w:val="000000"/>
                <w:lang w:val="de-DE" w:eastAsia="de-DE"/>
              </w:rPr>
            </w:pPr>
            <w:r w:rsidRPr="009272C1">
              <w:rPr>
                <w:rFonts w:ascii="Verdana" w:hAnsi="Verdana"/>
                <w:b/>
              </w:rPr>
              <w:t>12</w:t>
            </w:r>
          </w:p>
        </w:tc>
        <w:tc>
          <w:tcPr>
            <w:tcW w:w="98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b/>
                <w:bCs/>
                <w:i/>
                <w:iCs/>
                <w:color w:val="000000"/>
                <w:lang w:val="de-DE" w:eastAsia="de-DE"/>
              </w:rPr>
            </w:pPr>
            <w:r w:rsidRPr="009272C1">
              <w:rPr>
                <w:rFonts w:ascii="Verdana" w:hAnsi="Verdana"/>
                <w:b/>
              </w:rPr>
              <w:t>14,6</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b/>
                <w:bCs/>
                <w:i/>
                <w:iCs/>
                <w:color w:val="000000"/>
                <w:lang w:val="de-DE" w:eastAsia="de-DE"/>
              </w:rPr>
            </w:pPr>
            <w:r w:rsidRPr="009272C1">
              <w:rPr>
                <w:rFonts w:ascii="Verdana" w:hAnsi="Verdana"/>
                <w:b/>
              </w:rPr>
              <w:t>16,5</w:t>
            </w:r>
          </w:p>
        </w:tc>
        <w:tc>
          <w:tcPr>
            <w:tcW w:w="1000" w:type="dxa"/>
            <w:shd w:val="clear" w:color="auto" w:fill="auto"/>
            <w:noWrap/>
            <w:vAlign w:val="center"/>
            <w:hideMark/>
          </w:tcPr>
          <w:p w:rsidR="009272C1" w:rsidRPr="009272C1" w:rsidRDefault="009272C1" w:rsidP="00042CC8">
            <w:pPr>
              <w:spacing w:after="0" w:line="240" w:lineRule="auto"/>
              <w:jc w:val="center"/>
              <w:rPr>
                <w:rFonts w:ascii="Verdana" w:eastAsia="Times New Roman" w:hAnsi="Verdana" w:cs="Calibri"/>
                <w:b/>
                <w:bCs/>
                <w:i/>
                <w:iCs/>
                <w:color w:val="000000"/>
                <w:lang w:val="de-DE" w:eastAsia="de-DE"/>
              </w:rPr>
            </w:pPr>
            <w:r w:rsidRPr="009272C1">
              <w:rPr>
                <w:rFonts w:ascii="Verdana" w:hAnsi="Verdana"/>
                <w:b/>
              </w:rPr>
              <w:t>19,1</w:t>
            </w:r>
          </w:p>
        </w:tc>
      </w:tr>
    </w:tbl>
    <w:p w:rsidR="009272C1" w:rsidRPr="009272C1" w:rsidRDefault="009272C1" w:rsidP="00D37BCC">
      <w:pPr>
        <w:tabs>
          <w:tab w:val="left" w:pos="3300"/>
        </w:tabs>
        <w:rPr>
          <w:rFonts w:ascii="Verdana" w:hAnsi="Verdana"/>
          <w:sz w:val="24"/>
          <w:szCs w:val="24"/>
        </w:rPr>
      </w:pPr>
    </w:p>
    <w:p w:rsidR="009272C1" w:rsidRPr="009272C1" w:rsidRDefault="009272C1" w:rsidP="00D37BCC">
      <w:pPr>
        <w:tabs>
          <w:tab w:val="left" w:pos="3300"/>
        </w:tabs>
        <w:rPr>
          <w:rFonts w:ascii="Verdana" w:hAnsi="Verdana"/>
          <w:sz w:val="24"/>
          <w:szCs w:val="24"/>
        </w:rPr>
      </w:pPr>
    </w:p>
    <w:p w:rsidR="009272C1" w:rsidRPr="003126D9" w:rsidRDefault="00D24F60" w:rsidP="003126D9">
      <w:pPr>
        <w:tabs>
          <w:tab w:val="left" w:pos="3300"/>
        </w:tabs>
        <w:spacing w:line="312" w:lineRule="auto"/>
        <w:jc w:val="both"/>
        <w:rPr>
          <w:rFonts w:ascii="Verdana" w:hAnsi="Verdana"/>
        </w:rPr>
      </w:pPr>
      <w:r w:rsidRPr="003126D9">
        <w:rPr>
          <w:rFonts w:ascii="Verdana" w:hAnsi="Verdana"/>
        </w:rPr>
        <w:lastRenderedPageBreak/>
        <w:t xml:space="preserve">Επιπλέον στόχοι που αφορούν είναι το </w:t>
      </w:r>
      <w:r w:rsidRPr="003126D9">
        <w:rPr>
          <w:rFonts w:ascii="Verdana" w:hAnsi="Verdana"/>
          <w:b/>
        </w:rPr>
        <w:t xml:space="preserve">μερίδιο των ΑΠΕ για τις ανάγκες θέρμανσης και ψύξης να ξεπεράσει το 40% και στον τομέα των μεταφορών να </w:t>
      </w:r>
      <w:r w:rsidR="003126D9" w:rsidRPr="003126D9">
        <w:rPr>
          <w:rFonts w:ascii="Verdana" w:hAnsi="Verdana"/>
          <w:b/>
        </w:rPr>
        <w:t xml:space="preserve">προσεγγίσει το 19 </w:t>
      </w:r>
      <w:r w:rsidRPr="003126D9">
        <w:rPr>
          <w:rFonts w:ascii="Verdana" w:hAnsi="Verdana"/>
          <w:b/>
        </w:rPr>
        <w:t>%.</w:t>
      </w:r>
      <w:r w:rsidR="00D3096C" w:rsidRPr="003126D9">
        <w:rPr>
          <w:rFonts w:ascii="Verdana" w:hAnsi="Verdana"/>
        </w:rPr>
        <w:t xml:space="preserve"> Ποσοτικός στόχος τίθεται επίσης και για την προώθηση συστημάτων ΑΠΕ στα κτίρια και των συστημάτων διεσπαρμένης παραγωγής, μέσω </w:t>
      </w:r>
      <w:proofErr w:type="spellStart"/>
      <w:r w:rsidR="00D3096C" w:rsidRPr="003126D9">
        <w:rPr>
          <w:rFonts w:ascii="Verdana" w:hAnsi="Verdana"/>
        </w:rPr>
        <w:t>αυτοπαραγωγής</w:t>
      </w:r>
      <w:proofErr w:type="spellEnd"/>
      <w:r w:rsidR="00D3096C" w:rsidRPr="003126D9">
        <w:rPr>
          <w:rFonts w:ascii="Verdana" w:hAnsi="Verdana"/>
        </w:rPr>
        <w:t xml:space="preserve">, ενεργειακού συμψηφισμού και ενεργειακών κοινοτήτων. Προβλέπεται συγκεκριμένα έως το 2030 η λειτουργία τέτοιων συστημάτων ηλεκτροπαραγωγής από ΑΠΕ εγκατεστημένης ισχύος 1 </w:t>
      </w:r>
      <w:r w:rsidR="00D3096C" w:rsidRPr="003126D9">
        <w:rPr>
          <w:rFonts w:ascii="Verdana" w:hAnsi="Verdana"/>
          <w:lang w:val="en-US"/>
        </w:rPr>
        <w:t>GW</w:t>
      </w:r>
      <w:r w:rsidR="00D3096C" w:rsidRPr="003126D9">
        <w:rPr>
          <w:rFonts w:ascii="Verdana" w:hAnsi="Verdana"/>
        </w:rPr>
        <w:t xml:space="preserve">, ικανών να καλύψουν την μέση ηλεκτρική κατανάλωση </w:t>
      </w:r>
      <w:r w:rsidR="00F629AC" w:rsidRPr="003126D9">
        <w:rPr>
          <w:rFonts w:ascii="Verdana" w:hAnsi="Verdana"/>
        </w:rPr>
        <w:t xml:space="preserve">τουλάχιστον 330.000 νοικοκυριών. </w:t>
      </w:r>
      <w:r w:rsidR="009272C1" w:rsidRPr="003126D9">
        <w:rPr>
          <w:rFonts w:ascii="Verdana" w:hAnsi="Verdana"/>
        </w:rPr>
        <w:t>Τέλος, επιδιώκεται να αξιολογηθούν μέσω πιλοτικών εγκαταστάσεων νέες εφαρμογές/τεχνολογίες για ηλεκτροπαραγωγή από ΑΠΕ (π.χ. κυματική ενέργεια) ή συνδυαστικές εγκαταστάσεις από ΑΠΕ π.χ. για παραγωγή υδρογόνου.</w:t>
      </w:r>
    </w:p>
    <w:p w:rsidR="000C5992" w:rsidRPr="003126D9" w:rsidRDefault="009272C1" w:rsidP="003126D9">
      <w:pPr>
        <w:spacing w:line="312" w:lineRule="auto"/>
        <w:jc w:val="both"/>
        <w:rPr>
          <w:rFonts w:ascii="Verdana" w:hAnsi="Verdana"/>
        </w:rPr>
      </w:pPr>
      <w:r w:rsidRPr="003126D9">
        <w:rPr>
          <w:rFonts w:ascii="Verdana" w:hAnsi="Verdana"/>
        </w:rPr>
        <w:t>Για την επίτευξη των στόχων για τις ΑΠΕ</w:t>
      </w:r>
      <w:r w:rsidRPr="003126D9">
        <w:rPr>
          <w:rFonts w:ascii="Verdana" w:hAnsi="Verdana"/>
          <w:b/>
        </w:rPr>
        <w:t xml:space="preserve">, η συνολική αναμόρφωση του </w:t>
      </w:r>
      <w:proofErr w:type="spellStart"/>
      <w:r w:rsidRPr="003126D9">
        <w:rPr>
          <w:rFonts w:ascii="Verdana" w:hAnsi="Verdana"/>
          <w:b/>
        </w:rPr>
        <w:t>αδειοδοτικού</w:t>
      </w:r>
      <w:proofErr w:type="spellEnd"/>
      <w:r w:rsidRPr="003126D9">
        <w:rPr>
          <w:rFonts w:ascii="Verdana" w:hAnsi="Verdana"/>
          <w:b/>
        </w:rPr>
        <w:t xml:space="preserve"> πλαισίου </w:t>
      </w:r>
      <w:r w:rsidR="000C5992" w:rsidRPr="003126D9">
        <w:rPr>
          <w:rFonts w:ascii="Verdana" w:hAnsi="Verdana"/>
          <w:b/>
        </w:rPr>
        <w:t>και η επιτάχυνση των διαδικασιώ</w:t>
      </w:r>
      <w:r w:rsidR="003126D9" w:rsidRPr="003126D9">
        <w:rPr>
          <w:rFonts w:ascii="Verdana" w:hAnsi="Verdana"/>
          <w:b/>
        </w:rPr>
        <w:t>ν</w:t>
      </w:r>
      <w:r w:rsidR="000C5992" w:rsidRPr="003126D9">
        <w:rPr>
          <w:rFonts w:ascii="Verdana" w:hAnsi="Verdana"/>
          <w:b/>
        </w:rPr>
        <w:t xml:space="preserve"> </w:t>
      </w:r>
      <w:r w:rsidRPr="003126D9">
        <w:rPr>
          <w:rFonts w:ascii="Verdana" w:hAnsi="Verdana"/>
          <w:b/>
        </w:rPr>
        <w:t>αποτελεί επιτακτική ανάγκ</w:t>
      </w:r>
      <w:r w:rsidR="000C5992" w:rsidRPr="003126D9">
        <w:rPr>
          <w:rFonts w:ascii="Verdana" w:hAnsi="Verdana"/>
          <w:b/>
        </w:rPr>
        <w:t xml:space="preserve">η ώστε να προσεγγίσει η Ελλάδα το ευρωπαϊκό </w:t>
      </w:r>
      <w:proofErr w:type="spellStart"/>
      <w:r w:rsidR="000C5992" w:rsidRPr="003126D9">
        <w:rPr>
          <w:rFonts w:ascii="Verdana" w:hAnsi="Verdana"/>
          <w:b/>
        </w:rPr>
        <w:t>benchmark</w:t>
      </w:r>
      <w:proofErr w:type="spellEnd"/>
      <w:r w:rsidR="000C5992" w:rsidRPr="003126D9">
        <w:rPr>
          <w:rFonts w:ascii="Verdana" w:hAnsi="Verdana"/>
          <w:b/>
        </w:rPr>
        <w:t xml:space="preserve"> (δυο χρόνια)</w:t>
      </w:r>
      <w:r w:rsidR="000C5992" w:rsidRPr="003126D9">
        <w:rPr>
          <w:rFonts w:ascii="Verdana" w:hAnsi="Verdana"/>
        </w:rPr>
        <w:t>.</w:t>
      </w:r>
      <w:r w:rsidRPr="003126D9">
        <w:rPr>
          <w:rFonts w:ascii="Verdana" w:hAnsi="Verdana"/>
        </w:rPr>
        <w:t xml:space="preserve"> </w:t>
      </w:r>
      <w:r w:rsidR="000C5992" w:rsidRPr="003126D9">
        <w:rPr>
          <w:rFonts w:ascii="Verdana" w:hAnsi="Verdana"/>
        </w:rPr>
        <w:t xml:space="preserve">Στο πλαίσιο αυτό, έχει συσταθεί ειδική Επιτροπή με αποστολή να απλοποιήσει την </w:t>
      </w:r>
      <w:proofErr w:type="spellStart"/>
      <w:r w:rsidR="000C5992" w:rsidRPr="003126D9">
        <w:rPr>
          <w:rFonts w:ascii="Verdana" w:hAnsi="Verdana"/>
        </w:rPr>
        <w:t>αδειοδοτική</w:t>
      </w:r>
      <w:proofErr w:type="spellEnd"/>
      <w:r w:rsidR="000C5992" w:rsidRPr="003126D9">
        <w:rPr>
          <w:rFonts w:ascii="Verdana" w:hAnsi="Verdana"/>
        </w:rPr>
        <w:t xml:space="preserve"> διαδικασία σε δυο στάδια:</w:t>
      </w:r>
    </w:p>
    <w:p w:rsidR="000C5992" w:rsidRPr="003126D9" w:rsidRDefault="000C5992" w:rsidP="003126D9">
      <w:pPr>
        <w:pStyle w:val="a5"/>
        <w:numPr>
          <w:ilvl w:val="0"/>
          <w:numId w:val="6"/>
        </w:numPr>
        <w:rPr>
          <w:rFonts w:ascii="Verdana" w:hAnsi="Verdana"/>
          <w:lang w:val="el-GR"/>
        </w:rPr>
      </w:pPr>
      <w:r w:rsidRPr="003126D9">
        <w:rPr>
          <w:rFonts w:ascii="Verdana" w:hAnsi="Verdana"/>
          <w:lang w:val="el-GR"/>
        </w:rPr>
        <w:t>1</w:t>
      </w:r>
      <w:r w:rsidRPr="003126D9">
        <w:rPr>
          <w:rFonts w:ascii="Verdana" w:hAnsi="Verdana"/>
          <w:vertAlign w:val="superscript"/>
          <w:lang w:val="el-GR"/>
        </w:rPr>
        <w:t>ο</w:t>
      </w:r>
      <w:r w:rsidRPr="003126D9">
        <w:rPr>
          <w:rFonts w:ascii="Verdana" w:hAnsi="Verdana"/>
          <w:lang w:val="el-GR"/>
        </w:rPr>
        <w:t xml:space="preserve"> στάδιο (Δεκέμβριος 2019): απλοποίηση της διαδικασίας χορήγησης της Άδειας Παραγωγής και σύνταξη των απαιτούμενων νομοθετικών ρυθμίσεων. </w:t>
      </w:r>
    </w:p>
    <w:p w:rsidR="007D7525" w:rsidRPr="003126D9" w:rsidRDefault="000C5992" w:rsidP="003126D9">
      <w:pPr>
        <w:pStyle w:val="a5"/>
        <w:numPr>
          <w:ilvl w:val="0"/>
          <w:numId w:val="6"/>
        </w:numPr>
        <w:tabs>
          <w:tab w:val="left" w:pos="3300"/>
        </w:tabs>
        <w:rPr>
          <w:rFonts w:ascii="Verdana" w:hAnsi="Verdana"/>
        </w:rPr>
      </w:pPr>
      <w:r w:rsidRPr="003126D9">
        <w:rPr>
          <w:rFonts w:ascii="Verdana" w:hAnsi="Verdana"/>
          <w:lang w:val="el-GR"/>
        </w:rPr>
        <w:t>2</w:t>
      </w:r>
      <w:r w:rsidRPr="003126D9">
        <w:rPr>
          <w:rFonts w:ascii="Verdana" w:hAnsi="Verdana"/>
          <w:vertAlign w:val="superscript"/>
          <w:lang w:val="el-GR"/>
        </w:rPr>
        <w:t>ο</w:t>
      </w:r>
      <w:r w:rsidRPr="003126D9">
        <w:rPr>
          <w:rFonts w:ascii="Verdana" w:hAnsi="Verdana"/>
          <w:lang w:val="el-GR"/>
        </w:rPr>
        <w:t xml:space="preserve"> στάδιο (Άνοιξη 2020): απλοποίηση  των </w:t>
      </w:r>
      <w:proofErr w:type="spellStart"/>
      <w:r w:rsidRPr="003126D9">
        <w:rPr>
          <w:rFonts w:ascii="Verdana" w:hAnsi="Verdana"/>
          <w:lang w:val="el-GR"/>
        </w:rPr>
        <w:t>αδειοδοτικών</w:t>
      </w:r>
      <w:proofErr w:type="spellEnd"/>
      <w:r w:rsidRPr="003126D9">
        <w:rPr>
          <w:rFonts w:ascii="Verdana" w:hAnsi="Verdana"/>
          <w:lang w:val="el-GR"/>
        </w:rPr>
        <w:t xml:space="preserve"> διαδικασιών μετά την Άδεια Παραγωγής (περιβαλλοντικά, προσφορά σύνδεσης, άδεια εγκατάστασης, άδεια λειτουργίας και σύνταξη των απαιτούμενων νομοθετικών ρυθμίσεων). </w:t>
      </w:r>
    </w:p>
    <w:p w:rsidR="007D7525" w:rsidRPr="003126D9" w:rsidRDefault="007D7525" w:rsidP="003126D9">
      <w:pPr>
        <w:tabs>
          <w:tab w:val="left" w:pos="3300"/>
        </w:tabs>
        <w:spacing w:line="312" w:lineRule="auto"/>
        <w:jc w:val="both"/>
        <w:rPr>
          <w:rFonts w:ascii="Verdana" w:hAnsi="Verdana"/>
        </w:rPr>
      </w:pPr>
    </w:p>
    <w:p w:rsidR="009272C1" w:rsidRPr="003126D9" w:rsidRDefault="009272C1" w:rsidP="003126D9">
      <w:pPr>
        <w:tabs>
          <w:tab w:val="left" w:pos="3300"/>
        </w:tabs>
        <w:spacing w:line="312" w:lineRule="auto"/>
        <w:jc w:val="both"/>
        <w:rPr>
          <w:rFonts w:ascii="Verdana" w:hAnsi="Verdana"/>
        </w:rPr>
      </w:pPr>
      <w:r w:rsidRPr="003126D9">
        <w:rPr>
          <w:rFonts w:ascii="Verdana" w:hAnsi="Verdana"/>
        </w:rPr>
        <w:t xml:space="preserve">Σε τεχνικό επίπεδο, κρίσιμη είναι η </w:t>
      </w:r>
      <w:r w:rsidRPr="003126D9">
        <w:rPr>
          <w:rFonts w:ascii="Verdana" w:hAnsi="Verdana"/>
          <w:b/>
        </w:rPr>
        <w:t xml:space="preserve">ανάπτυξη του θεσμικού πλαισίου για τις μονάδες αποθήκευσης και τη συμμετοχή τους στην αγορά ηλεκτρικής ενέργειας, με έμφαση στην </w:t>
      </w:r>
      <w:proofErr w:type="spellStart"/>
      <w:r w:rsidRPr="003126D9">
        <w:rPr>
          <w:rFonts w:ascii="Verdana" w:hAnsi="Verdana"/>
          <w:b/>
        </w:rPr>
        <w:t>αντλησιοταμίευση</w:t>
      </w:r>
      <w:proofErr w:type="spellEnd"/>
      <w:r w:rsidRPr="003126D9">
        <w:rPr>
          <w:rFonts w:ascii="Verdana" w:hAnsi="Verdana"/>
        </w:rPr>
        <w:t xml:space="preserve"> που είναι η πιο διαδεδομένη τεχνολογία διεθνώς για την αποθήκευση ηλεκτρικής ενέργειας σε μεγάλα μεγέθη.</w:t>
      </w:r>
    </w:p>
    <w:p w:rsidR="000C5992" w:rsidRDefault="000C5992" w:rsidP="007D7525">
      <w:pPr>
        <w:tabs>
          <w:tab w:val="left" w:pos="3300"/>
        </w:tabs>
        <w:rPr>
          <w:rFonts w:ascii="Verdana" w:hAnsi="Verdana"/>
          <w:b/>
          <w:sz w:val="24"/>
          <w:szCs w:val="24"/>
          <w:u w:val="single"/>
        </w:rPr>
      </w:pPr>
    </w:p>
    <w:p w:rsidR="000C5992" w:rsidRPr="000C5992" w:rsidRDefault="000C5992" w:rsidP="007D7525">
      <w:pPr>
        <w:tabs>
          <w:tab w:val="left" w:pos="3300"/>
        </w:tabs>
        <w:rPr>
          <w:rFonts w:ascii="Verdana" w:hAnsi="Verdana"/>
          <w:b/>
          <w:sz w:val="24"/>
          <w:szCs w:val="24"/>
          <w:u w:val="single"/>
        </w:rPr>
      </w:pPr>
      <w:r w:rsidRPr="000C5992">
        <w:rPr>
          <w:rFonts w:ascii="Verdana" w:hAnsi="Verdana"/>
          <w:b/>
          <w:sz w:val="24"/>
          <w:szCs w:val="24"/>
          <w:u w:val="single"/>
        </w:rPr>
        <w:t>ΕΝΕΡΓΕΙΑΚΗ ΑΠΟΔΟΣΗ</w:t>
      </w:r>
    </w:p>
    <w:p w:rsidR="000C5992" w:rsidRDefault="000C5992" w:rsidP="007D7525">
      <w:pPr>
        <w:tabs>
          <w:tab w:val="left" w:pos="3300"/>
        </w:tabs>
        <w:rPr>
          <w:rFonts w:ascii="Verdana" w:hAnsi="Verdana"/>
          <w:sz w:val="24"/>
          <w:szCs w:val="24"/>
        </w:rPr>
      </w:pPr>
    </w:p>
    <w:p w:rsidR="007D7525" w:rsidRPr="00650A49" w:rsidRDefault="007D7525" w:rsidP="003126D9">
      <w:pPr>
        <w:tabs>
          <w:tab w:val="left" w:pos="3300"/>
        </w:tabs>
        <w:spacing w:line="312" w:lineRule="auto"/>
        <w:jc w:val="both"/>
        <w:rPr>
          <w:rFonts w:ascii="Verdana" w:hAnsi="Verdana"/>
        </w:rPr>
      </w:pPr>
      <w:r w:rsidRPr="003126D9">
        <w:rPr>
          <w:rFonts w:ascii="Verdana" w:hAnsi="Verdana"/>
        </w:rPr>
        <w:t xml:space="preserve">Η βελτίωση της ενεργειακής απόδοσης αποτελεί βασική οριζόντια προτεραιότητα και άξονας πάνω στον οποίο σχεδιάζονται όλες οι άλλες πολιτικές. Επιδίωξη της κυβέρνησης είναι να υπάρξει συνδυασμός </w:t>
      </w:r>
      <w:r w:rsidRPr="003126D9">
        <w:rPr>
          <w:rFonts w:ascii="Verdana" w:hAnsi="Verdana"/>
        </w:rPr>
        <w:lastRenderedPageBreak/>
        <w:t xml:space="preserve">κανονιστικών παρεμβάσεων και χρηματοδοτικών εργαλείων, ώστε </w:t>
      </w:r>
      <w:r w:rsidRPr="003126D9">
        <w:rPr>
          <w:rFonts w:ascii="Verdana" w:hAnsi="Verdana"/>
          <w:b/>
        </w:rPr>
        <w:t xml:space="preserve">η τελική κατανάλωση ενέργειας το 2030 να περιοριστεί στα επίπεδα του 2017, </w:t>
      </w:r>
      <w:r w:rsidRPr="00650A49">
        <w:rPr>
          <w:rFonts w:ascii="Verdana" w:hAnsi="Verdana"/>
        </w:rPr>
        <w:t>με στόχο να επιτευχθεί βελτίωση ενεργειακής απόδοσης της τάξης του 38%.</w:t>
      </w:r>
    </w:p>
    <w:p w:rsidR="0003011B" w:rsidRPr="003126D9" w:rsidRDefault="007D7525" w:rsidP="003126D9">
      <w:pPr>
        <w:spacing w:before="60" w:after="60" w:line="312" w:lineRule="auto"/>
        <w:jc w:val="both"/>
        <w:rPr>
          <w:rFonts w:ascii="Verdana" w:hAnsi="Verdana"/>
        </w:rPr>
      </w:pPr>
      <w:r w:rsidRPr="003126D9">
        <w:rPr>
          <w:rFonts w:ascii="Verdana" w:hAnsi="Verdana"/>
        </w:rPr>
        <w:t>Για να επιτευχθεί ο στόχος αυτός σχεδιάζονται ειδικά μέτρα για τον κτιριακό τομέα, τόσο για τα δημόσια κτίρια (πρόγραμμα ΗΛΕΚΤΡΑ</w:t>
      </w:r>
      <w:r w:rsidR="0003011B" w:rsidRPr="003126D9">
        <w:rPr>
          <w:rFonts w:ascii="Verdana" w:hAnsi="Verdana"/>
        </w:rPr>
        <w:t xml:space="preserve"> που αφορά στη χρηματοδότηση παρεμβάσεων ενεργειακής απόδοσης, με συμμετοχή Επιχειρήσεων Ενεργειακών Υπηρεσιών</w:t>
      </w:r>
      <w:r w:rsidRPr="003126D9">
        <w:rPr>
          <w:rFonts w:ascii="Verdana" w:hAnsi="Verdana"/>
        </w:rPr>
        <w:t xml:space="preserve">) όσο και για τα ιδιωτικά. Στο πλαίσιο αυτό έχει τεθεί </w:t>
      </w:r>
      <w:r w:rsidRPr="003126D9">
        <w:rPr>
          <w:rFonts w:ascii="Verdana" w:hAnsi="Verdana"/>
          <w:b/>
        </w:rPr>
        <w:t>ως στόχος η ανακαίνιση και αντικατάσταση του 12-15% του αποθέματος των κτιρίων κατοικίας με νέα, σχεδόν μηδενικής ενεργειακής κατανάλωσης έως το 2030. Επιδιώκεται κάθε  χρόνο να αναβαθμίζονται ενεργειακά κατά μέσο όρο 60.000 κτίρια</w:t>
      </w:r>
      <w:r w:rsidRPr="003126D9">
        <w:rPr>
          <w:rFonts w:ascii="Verdana" w:hAnsi="Verdana"/>
        </w:rPr>
        <w:t>. Ο συγκεκριμένος στόχος θα συμβάλλει στην ριζική αναβάθμιση του κτιριακού αποθέματος δίνοντας παράλληλα σημαντική ώθηση στον κατασκευαστικό κλάδο.</w:t>
      </w:r>
      <w:r w:rsidR="0003011B" w:rsidRPr="003126D9">
        <w:rPr>
          <w:rFonts w:ascii="Verdana" w:hAnsi="Verdana"/>
        </w:rPr>
        <w:t xml:space="preserve"> Συνολικά η βελτίωση της ενεργειακής απόδοσης του κτιριακού αποθέματος αναμένεται να οδηγήσει σε </w:t>
      </w:r>
      <w:r w:rsidR="0003011B" w:rsidRPr="003126D9">
        <w:rPr>
          <w:rFonts w:ascii="Verdana" w:hAnsi="Verdana"/>
          <w:b/>
        </w:rPr>
        <w:t>αύξηση της εγχώριας προστιθέμενης αξίας</w:t>
      </w:r>
      <w:r w:rsidR="003126D9">
        <w:rPr>
          <w:rFonts w:ascii="Verdana" w:hAnsi="Verdana"/>
          <w:b/>
        </w:rPr>
        <w:t xml:space="preserve"> κατά 8 δις. ευρώ</w:t>
      </w:r>
      <w:r w:rsidR="0003011B" w:rsidRPr="003126D9">
        <w:rPr>
          <w:rFonts w:ascii="Verdana" w:hAnsi="Verdana"/>
        </w:rPr>
        <w:t xml:space="preserve"> και στο να δημιουργηθούν και να διατηρηθούν πάνω από </w:t>
      </w:r>
      <w:r w:rsidR="0003011B" w:rsidRPr="003126D9">
        <w:rPr>
          <w:rFonts w:ascii="Verdana" w:hAnsi="Verdana"/>
          <w:b/>
        </w:rPr>
        <w:t>22 χιλιάδες νέες θέσεις εργασίας πλήρους απασχόλησης</w:t>
      </w:r>
      <w:r w:rsidR="0003011B" w:rsidRPr="003126D9">
        <w:rPr>
          <w:rFonts w:ascii="Verdana" w:hAnsi="Verdana"/>
        </w:rPr>
        <w:t>.</w:t>
      </w:r>
    </w:p>
    <w:p w:rsidR="0003011B" w:rsidRPr="003126D9" w:rsidRDefault="0003011B" w:rsidP="003126D9">
      <w:pPr>
        <w:spacing w:line="312" w:lineRule="auto"/>
        <w:jc w:val="both"/>
        <w:rPr>
          <w:rFonts w:ascii="Verdana" w:hAnsi="Verdana"/>
        </w:rPr>
      </w:pPr>
      <w:r w:rsidRPr="003126D9">
        <w:rPr>
          <w:rFonts w:ascii="Verdana" w:hAnsi="Verdana"/>
        </w:rPr>
        <w:t xml:space="preserve">Σημειώνεται τέλος ότι η </w:t>
      </w:r>
      <w:r w:rsidRPr="003126D9">
        <w:rPr>
          <w:rFonts w:ascii="Verdana" w:hAnsi="Verdana"/>
          <w:b/>
        </w:rPr>
        <w:t>ίδρυση του Ταμείου Ενεργειακής Απόδοσης</w:t>
      </w:r>
      <w:r w:rsidRPr="003126D9">
        <w:rPr>
          <w:rFonts w:ascii="Verdana" w:hAnsi="Verdana"/>
        </w:rPr>
        <w:t xml:space="preserve">, θα ενισχύσει σημαντικά την υλοποίηση μέτρων βελτίωσης της ενεργειακής απόδοσης σε όλους τους τομείς κατανάλωσης ενέργειας. </w:t>
      </w:r>
      <w:r w:rsidR="00D07331" w:rsidRPr="003126D9">
        <w:rPr>
          <w:rFonts w:ascii="Verdana" w:hAnsi="Verdana"/>
        </w:rPr>
        <w:t xml:space="preserve">Και τούτο διότι </w:t>
      </w:r>
      <w:r w:rsidRPr="003126D9">
        <w:rPr>
          <w:rFonts w:ascii="Verdana" w:hAnsi="Verdana"/>
        </w:rPr>
        <w:t>αναμένεται να διευκολύνει την πρόσβαση σε χρηματοδότηση των εμπλεκομένων μερών, να συμβάλλει στη βελτίωση του δείκτη κόστους αποτελέσματος των υλοποιούμενων προγραμμάτων και στην αποτελεσματικότερη αξιοποίηση ανεκμετάλλευτου δυναμικού εξοικονόμησης ενέργειας σε συγκεκριμένους κλάδους.</w:t>
      </w:r>
    </w:p>
    <w:p w:rsidR="0003011B" w:rsidRPr="003126D9" w:rsidRDefault="0003011B" w:rsidP="003126D9">
      <w:pPr>
        <w:spacing w:before="60" w:after="60" w:line="312" w:lineRule="auto"/>
        <w:jc w:val="both"/>
        <w:rPr>
          <w:rFonts w:ascii="Verdana" w:hAnsi="Verdana"/>
        </w:rPr>
      </w:pPr>
    </w:p>
    <w:p w:rsidR="00D07331" w:rsidRPr="003126D9" w:rsidRDefault="000C5992" w:rsidP="003126D9">
      <w:pPr>
        <w:tabs>
          <w:tab w:val="left" w:pos="3300"/>
        </w:tabs>
        <w:spacing w:line="312" w:lineRule="auto"/>
        <w:jc w:val="both"/>
        <w:rPr>
          <w:rFonts w:ascii="Verdana" w:hAnsi="Verdana"/>
          <w:b/>
          <w:u w:val="single"/>
        </w:rPr>
      </w:pPr>
      <w:r w:rsidRPr="003126D9">
        <w:rPr>
          <w:rFonts w:ascii="Verdana" w:hAnsi="Verdana"/>
          <w:b/>
          <w:u w:val="single"/>
        </w:rPr>
        <w:t>ΗΛΕΚΤΡΟΚΙΝΗΣΗ</w:t>
      </w:r>
    </w:p>
    <w:p w:rsidR="00E7506F" w:rsidRPr="003126D9" w:rsidRDefault="00E7506F" w:rsidP="003126D9">
      <w:pPr>
        <w:tabs>
          <w:tab w:val="left" w:pos="3300"/>
        </w:tabs>
        <w:spacing w:line="312" w:lineRule="auto"/>
        <w:jc w:val="both"/>
        <w:rPr>
          <w:rFonts w:ascii="Verdana" w:hAnsi="Verdana"/>
        </w:rPr>
      </w:pPr>
    </w:p>
    <w:p w:rsidR="00EC67AD" w:rsidRPr="003126D9" w:rsidRDefault="00EC67AD" w:rsidP="003126D9">
      <w:pPr>
        <w:tabs>
          <w:tab w:val="left" w:pos="3300"/>
        </w:tabs>
        <w:spacing w:line="312" w:lineRule="auto"/>
        <w:jc w:val="both"/>
        <w:rPr>
          <w:rFonts w:ascii="Verdana" w:hAnsi="Verdana"/>
          <w:b/>
          <w:u w:val="single"/>
        </w:rPr>
      </w:pPr>
      <w:r w:rsidRPr="003126D9">
        <w:rPr>
          <w:rFonts w:ascii="Verdana" w:hAnsi="Verdana"/>
        </w:rPr>
        <w:t xml:space="preserve">Προτεραιότητα αποτελεί η προώθηση </w:t>
      </w:r>
      <w:r w:rsidR="00B57B20" w:rsidRPr="003126D9">
        <w:rPr>
          <w:rFonts w:ascii="Verdana" w:hAnsi="Verdana"/>
        </w:rPr>
        <w:t xml:space="preserve">της ηλεκτροκίνησης που θα στηρίζεται σε μεγάλο βαθμό στην ηλεκτροπαραγωγή από ΑΠΕ, ενώ α προσφέρει και σημαντική εξοικονόμηση ενέργειας μέσω της βελτίωσης της ενεργειακής απόδοσης. Γι’ αυτό στο ΕΣΕΚ εντάσσεται και το Στρατηγικό Σχέδιο για την προώθηση της Ηλεκτροκίνησης, ενώ τίθεται ως </w:t>
      </w:r>
      <w:r w:rsidR="00B57B20" w:rsidRPr="003126D9">
        <w:rPr>
          <w:rFonts w:ascii="Verdana" w:hAnsi="Verdana"/>
          <w:b/>
        </w:rPr>
        <w:t>ποσοτικός στόχο</w:t>
      </w:r>
      <w:r w:rsidR="00287EA9" w:rsidRPr="003126D9">
        <w:rPr>
          <w:rFonts w:ascii="Verdana" w:hAnsi="Verdana"/>
          <w:b/>
        </w:rPr>
        <w:t xml:space="preserve">ς το </w:t>
      </w:r>
      <w:r w:rsidR="00292A97" w:rsidRPr="003126D9">
        <w:rPr>
          <w:rFonts w:ascii="Verdana" w:hAnsi="Verdana"/>
          <w:b/>
        </w:rPr>
        <w:t>μερίδιο των ηλεκτρικών επιβατικών οχημάτων στις νέες ταξινομήσεις κατά το 2030 να ανέρχεται στο 30%</w:t>
      </w:r>
      <w:r w:rsidR="00287EA9" w:rsidRPr="003126D9">
        <w:rPr>
          <w:rFonts w:ascii="Verdana" w:hAnsi="Verdana"/>
          <w:b/>
        </w:rPr>
        <w:t xml:space="preserve">, με πρόβλεψη για </w:t>
      </w:r>
      <w:r w:rsidR="00287EA9" w:rsidRPr="003126D9">
        <w:rPr>
          <w:rFonts w:ascii="Verdana" w:hAnsi="Verdana"/>
          <w:b/>
        </w:rPr>
        <w:lastRenderedPageBreak/>
        <w:t>ραγδαία ανάπτυξη του ποσοστού τω</w:t>
      </w:r>
      <w:r w:rsidR="00292A97" w:rsidRPr="003126D9">
        <w:rPr>
          <w:rFonts w:ascii="Verdana" w:hAnsi="Verdana"/>
          <w:b/>
        </w:rPr>
        <w:t>ν ηλεκτροκίνητων ΙΧ μετά το 2027</w:t>
      </w:r>
      <w:r w:rsidR="00287EA9" w:rsidRPr="003126D9">
        <w:rPr>
          <w:rFonts w:ascii="Verdana" w:hAnsi="Verdana"/>
        </w:rPr>
        <w:t>.</w:t>
      </w:r>
    </w:p>
    <w:p w:rsidR="000C5992" w:rsidRPr="003126D9" w:rsidRDefault="000C5992" w:rsidP="003126D9">
      <w:pPr>
        <w:spacing w:line="312" w:lineRule="auto"/>
        <w:jc w:val="both"/>
        <w:rPr>
          <w:rFonts w:ascii="Verdana" w:hAnsi="Verdana"/>
        </w:rPr>
      </w:pPr>
      <w:r w:rsidRPr="003126D9">
        <w:rPr>
          <w:rFonts w:ascii="Verdana" w:hAnsi="Verdana"/>
        </w:rPr>
        <w:t>Η χάραξη της εθνικής πολιτικής προώθησης της ηλεκτροκίνησης κινείται σε πέντε άξονες:</w:t>
      </w:r>
    </w:p>
    <w:p w:rsidR="000C5992" w:rsidRPr="003126D9" w:rsidRDefault="000C5992" w:rsidP="003126D9">
      <w:pPr>
        <w:pStyle w:val="a5"/>
        <w:numPr>
          <w:ilvl w:val="0"/>
          <w:numId w:val="7"/>
        </w:numPr>
        <w:rPr>
          <w:rFonts w:ascii="Verdana" w:hAnsi="Verdana"/>
        </w:rPr>
      </w:pPr>
      <w:proofErr w:type="spellStart"/>
      <w:r w:rsidRPr="003126D9">
        <w:rPr>
          <w:rFonts w:ascii="Verdana" w:hAnsi="Verdana"/>
        </w:rPr>
        <w:t>Tη</w:t>
      </w:r>
      <w:proofErr w:type="spellEnd"/>
      <w:r w:rsidRPr="003126D9">
        <w:rPr>
          <w:rFonts w:ascii="Verdana" w:hAnsi="Verdana"/>
        </w:rPr>
        <w:t xml:space="preserve"> </w:t>
      </w:r>
      <w:proofErr w:type="spellStart"/>
      <w:r w:rsidRPr="003126D9">
        <w:rPr>
          <w:rFonts w:ascii="Verdana" w:hAnsi="Verdana"/>
        </w:rPr>
        <w:t>διεύρυνση</w:t>
      </w:r>
      <w:proofErr w:type="spellEnd"/>
      <w:r w:rsidRPr="003126D9">
        <w:rPr>
          <w:rFonts w:ascii="Verdana" w:hAnsi="Verdana"/>
        </w:rPr>
        <w:t xml:space="preserve"> </w:t>
      </w:r>
      <w:proofErr w:type="spellStart"/>
      <w:r w:rsidRPr="003126D9">
        <w:rPr>
          <w:rFonts w:ascii="Verdana" w:hAnsi="Verdana"/>
        </w:rPr>
        <w:t>της</w:t>
      </w:r>
      <w:proofErr w:type="spellEnd"/>
      <w:r w:rsidRPr="003126D9">
        <w:rPr>
          <w:rFonts w:ascii="Verdana" w:hAnsi="Verdana"/>
        </w:rPr>
        <w:t xml:space="preserve"> «α</w:t>
      </w:r>
      <w:proofErr w:type="spellStart"/>
      <w:r w:rsidRPr="003126D9">
        <w:rPr>
          <w:rFonts w:ascii="Verdana" w:hAnsi="Verdana"/>
        </w:rPr>
        <w:t>γορ</w:t>
      </w:r>
      <w:proofErr w:type="spellEnd"/>
      <w:r w:rsidRPr="003126D9">
        <w:rPr>
          <w:rFonts w:ascii="Verdana" w:hAnsi="Verdana"/>
        </w:rPr>
        <w:t>αστικής β</w:t>
      </w:r>
      <w:proofErr w:type="spellStart"/>
      <w:r w:rsidRPr="003126D9">
        <w:rPr>
          <w:rFonts w:ascii="Verdana" w:hAnsi="Verdana"/>
        </w:rPr>
        <w:t>άσης</w:t>
      </w:r>
      <w:proofErr w:type="spellEnd"/>
      <w:r w:rsidRPr="003126D9">
        <w:rPr>
          <w:rFonts w:ascii="Verdana" w:hAnsi="Verdana"/>
        </w:rPr>
        <w:t xml:space="preserve">» </w:t>
      </w:r>
      <w:proofErr w:type="spellStart"/>
      <w:r w:rsidRPr="003126D9">
        <w:rPr>
          <w:rFonts w:ascii="Verdana" w:hAnsi="Verdana"/>
        </w:rPr>
        <w:t>της</w:t>
      </w:r>
      <w:proofErr w:type="spellEnd"/>
      <w:r w:rsidRPr="003126D9">
        <w:rPr>
          <w:rFonts w:ascii="Verdana" w:hAnsi="Verdana"/>
        </w:rPr>
        <w:t xml:space="preserve"> </w:t>
      </w:r>
      <w:proofErr w:type="spellStart"/>
      <w:r w:rsidRPr="003126D9">
        <w:rPr>
          <w:rFonts w:ascii="Verdana" w:hAnsi="Verdana"/>
        </w:rPr>
        <w:t>Ελληνικής</w:t>
      </w:r>
      <w:proofErr w:type="spellEnd"/>
      <w:r w:rsidRPr="003126D9">
        <w:rPr>
          <w:rFonts w:ascii="Verdana" w:hAnsi="Verdana"/>
        </w:rPr>
        <w:t xml:space="preserve"> </w:t>
      </w:r>
      <w:proofErr w:type="spellStart"/>
      <w:r w:rsidRPr="003126D9">
        <w:rPr>
          <w:rFonts w:ascii="Verdana" w:hAnsi="Verdana"/>
        </w:rPr>
        <w:t>Αγοράς</w:t>
      </w:r>
      <w:proofErr w:type="spellEnd"/>
      <w:r w:rsidRPr="003126D9">
        <w:rPr>
          <w:rFonts w:ascii="Verdana" w:hAnsi="Verdana"/>
        </w:rPr>
        <w:t xml:space="preserve">, </w:t>
      </w:r>
      <w:proofErr w:type="spellStart"/>
      <w:r w:rsidRPr="003126D9">
        <w:rPr>
          <w:rFonts w:ascii="Verdana" w:hAnsi="Verdana"/>
        </w:rPr>
        <w:t>μέσω</w:t>
      </w:r>
      <w:proofErr w:type="spellEnd"/>
      <w:r w:rsidRPr="003126D9">
        <w:rPr>
          <w:rFonts w:ascii="Verdana" w:hAnsi="Verdana"/>
        </w:rPr>
        <w:t xml:space="preserve"> </w:t>
      </w:r>
      <w:proofErr w:type="spellStart"/>
      <w:r w:rsidRPr="003126D9">
        <w:rPr>
          <w:rFonts w:ascii="Verdana" w:hAnsi="Verdana"/>
        </w:rPr>
        <w:t>της</w:t>
      </w:r>
      <w:proofErr w:type="spellEnd"/>
      <w:r w:rsidRPr="003126D9">
        <w:rPr>
          <w:rFonts w:ascii="Verdana" w:hAnsi="Verdana"/>
        </w:rPr>
        <w:t xml:space="preserve"> </w:t>
      </w:r>
      <w:proofErr w:type="spellStart"/>
      <w:r w:rsidRPr="003126D9">
        <w:rPr>
          <w:rFonts w:ascii="Verdana" w:hAnsi="Verdana"/>
        </w:rPr>
        <w:t>δι</w:t>
      </w:r>
      <w:proofErr w:type="spellEnd"/>
      <w:r w:rsidRPr="003126D9">
        <w:rPr>
          <w:rFonts w:ascii="Verdana" w:hAnsi="Verdana"/>
        </w:rPr>
        <w:t xml:space="preserve">αφοροποίησης </w:t>
      </w:r>
      <w:proofErr w:type="spellStart"/>
      <w:r w:rsidRPr="003126D9">
        <w:rPr>
          <w:rFonts w:ascii="Verdana" w:hAnsi="Verdana"/>
        </w:rPr>
        <w:t>της</w:t>
      </w:r>
      <w:proofErr w:type="spellEnd"/>
      <w:r w:rsidRPr="003126D9">
        <w:rPr>
          <w:rFonts w:ascii="Verdana" w:hAnsi="Verdana"/>
        </w:rPr>
        <w:t xml:space="preserve"> κατανα</w:t>
      </w:r>
      <w:proofErr w:type="spellStart"/>
      <w:r w:rsidRPr="003126D9">
        <w:rPr>
          <w:rFonts w:ascii="Verdana" w:hAnsi="Verdana"/>
        </w:rPr>
        <w:t>λωτικής</w:t>
      </w:r>
      <w:proofErr w:type="spellEnd"/>
      <w:r w:rsidRPr="003126D9">
        <w:rPr>
          <w:rFonts w:ascii="Verdana" w:hAnsi="Verdana"/>
        </w:rPr>
        <w:t xml:space="preserve"> τα</w:t>
      </w:r>
      <w:proofErr w:type="spellStart"/>
      <w:r w:rsidRPr="003126D9">
        <w:rPr>
          <w:rFonts w:ascii="Verdana" w:hAnsi="Verdana"/>
        </w:rPr>
        <w:t>υτότητ</w:t>
      </w:r>
      <w:proofErr w:type="spellEnd"/>
      <w:r w:rsidRPr="003126D9">
        <w:rPr>
          <w:rFonts w:ascii="Verdana" w:hAnsi="Verdana"/>
        </w:rPr>
        <w:t>ας (π</w:t>
      </w:r>
      <w:proofErr w:type="spellStart"/>
      <w:r w:rsidRPr="003126D9">
        <w:rPr>
          <w:rFonts w:ascii="Verdana" w:hAnsi="Verdana"/>
        </w:rPr>
        <w:t>ροφίλ</w:t>
      </w:r>
      <w:proofErr w:type="spellEnd"/>
      <w:r w:rsidRPr="003126D9">
        <w:rPr>
          <w:rFonts w:ascii="Verdana" w:hAnsi="Verdana"/>
        </w:rPr>
        <w:t>).</w:t>
      </w:r>
    </w:p>
    <w:p w:rsidR="000C5992" w:rsidRPr="003126D9" w:rsidRDefault="000C5992" w:rsidP="003126D9">
      <w:pPr>
        <w:pStyle w:val="a5"/>
        <w:numPr>
          <w:ilvl w:val="0"/>
          <w:numId w:val="7"/>
        </w:numPr>
        <w:rPr>
          <w:rFonts w:ascii="Verdana" w:hAnsi="Verdana"/>
          <w:lang w:val="el-GR"/>
        </w:rPr>
      </w:pPr>
      <w:r w:rsidRPr="003126D9">
        <w:rPr>
          <w:rFonts w:ascii="Verdana" w:hAnsi="Verdana"/>
        </w:rPr>
        <w:t>T</w:t>
      </w:r>
      <w:r w:rsidRPr="003126D9">
        <w:rPr>
          <w:rFonts w:ascii="Verdana" w:hAnsi="Verdana"/>
          <w:lang w:val="el-GR"/>
        </w:rPr>
        <w:t>ην αντικατάσταση παλαιότερων οχημάτων με «καθαρά» οχήματα υβριδικής και αμιγώς ηλεκτρικής τεχνολογίας.</w:t>
      </w:r>
    </w:p>
    <w:p w:rsidR="000C5992" w:rsidRPr="003126D9" w:rsidRDefault="000C5992" w:rsidP="003126D9">
      <w:pPr>
        <w:pStyle w:val="a5"/>
        <w:numPr>
          <w:ilvl w:val="0"/>
          <w:numId w:val="7"/>
        </w:numPr>
        <w:rPr>
          <w:rFonts w:ascii="Verdana" w:hAnsi="Verdana"/>
          <w:lang w:val="el-GR"/>
        </w:rPr>
      </w:pPr>
      <w:r w:rsidRPr="003126D9">
        <w:rPr>
          <w:rFonts w:ascii="Verdana" w:hAnsi="Verdana"/>
        </w:rPr>
        <w:t>T</w:t>
      </w:r>
      <w:r w:rsidRPr="003126D9">
        <w:rPr>
          <w:rFonts w:ascii="Verdana" w:hAnsi="Verdana"/>
          <w:lang w:val="el-GR"/>
        </w:rPr>
        <w:t>ην αύξηση του υφιστάμενου 0,3% μεριδίου των Η/0 στην ελληνική αγορά σε 6,6% επί των ταξινομήσεων εντός χρονικού διαστήματος 5 ετών (2020-2024).</w:t>
      </w:r>
    </w:p>
    <w:p w:rsidR="000C5992" w:rsidRPr="003126D9" w:rsidRDefault="000C5992" w:rsidP="003126D9">
      <w:pPr>
        <w:pStyle w:val="a5"/>
        <w:numPr>
          <w:ilvl w:val="0"/>
          <w:numId w:val="7"/>
        </w:numPr>
        <w:rPr>
          <w:rFonts w:ascii="Verdana" w:hAnsi="Verdana"/>
          <w:lang w:val="el-GR"/>
        </w:rPr>
      </w:pPr>
      <w:r w:rsidRPr="003126D9">
        <w:rPr>
          <w:rFonts w:ascii="Verdana" w:hAnsi="Verdana"/>
        </w:rPr>
        <w:t>T</w:t>
      </w:r>
      <w:r w:rsidRPr="003126D9">
        <w:rPr>
          <w:rFonts w:ascii="Verdana" w:hAnsi="Verdana"/>
          <w:lang w:val="el-GR"/>
        </w:rPr>
        <w:t>ην ανάπτυξη νέου «περιβάλλοντος χρήσης» τόσο από πλευράς υποδομών όσο και παροχών (κινήτρων).</w:t>
      </w:r>
    </w:p>
    <w:p w:rsidR="000C5992" w:rsidRPr="003126D9" w:rsidRDefault="000C5992" w:rsidP="003126D9">
      <w:pPr>
        <w:pStyle w:val="a5"/>
        <w:numPr>
          <w:ilvl w:val="0"/>
          <w:numId w:val="7"/>
        </w:numPr>
        <w:rPr>
          <w:rFonts w:ascii="Verdana" w:hAnsi="Verdana"/>
          <w:lang w:val="el-GR"/>
        </w:rPr>
      </w:pPr>
      <w:r w:rsidRPr="003126D9">
        <w:rPr>
          <w:rFonts w:ascii="Verdana" w:hAnsi="Verdana"/>
        </w:rPr>
        <w:t>T</w:t>
      </w:r>
      <w:r w:rsidRPr="003126D9">
        <w:rPr>
          <w:rFonts w:ascii="Verdana" w:hAnsi="Verdana"/>
          <w:lang w:val="el-GR"/>
        </w:rPr>
        <w:t>ην ενημέρωση του κοινού μέσω της προώθησης επικοινωνιακών προγραμμάτων.</w:t>
      </w:r>
    </w:p>
    <w:p w:rsidR="000C5992" w:rsidRPr="003126D9" w:rsidRDefault="000C5992" w:rsidP="003126D9">
      <w:pPr>
        <w:spacing w:line="312" w:lineRule="auto"/>
        <w:jc w:val="both"/>
        <w:rPr>
          <w:rFonts w:ascii="Verdana" w:hAnsi="Verdana"/>
        </w:rPr>
      </w:pPr>
      <w:r w:rsidRPr="003126D9">
        <w:rPr>
          <w:rFonts w:ascii="Verdana" w:hAnsi="Verdana"/>
        </w:rPr>
        <w:t xml:space="preserve">Για να διευκολυνθεί η ομαλή μετάβαση προς την κινητικότητα μηδενικών εκπομπών, θα πρέπει να σχεδιασθεί ένα ολοκληρωμένο πρόγραμμα παροχής κινήτρων, αφενός οικονομικού χαρακτήρα (επιδότηση στην τιμή αγοράς, μείωση κόστους ταξινόμησης και χρήσης μέσω φορολογικών απαλλαγών, ειδική τιμολογιακή πολιτική στα προγράμματα ασφάλισης, μειωμένα διόδια, έκπτωση στην ακτοπλοΐα για το ηλεκτρικό όχημα κ.α.) και αφετέρου, σε αυτά που εμφανίζουν τη μορφή κινήτρων χρήσης (είσοδος και καθημερινή κυκλοφορία εντός των μεγάλων αστικών κέντρων, ελεύθερη στάθμευση στους Δήμους που εφαρμόζεται ελεγχόμενη στάθμευση, υποστήριξη δημιουργίας δικτύων παροχής ενέργειας για την επαναφόρτιση των οχημάτων κλπ.). Τα κίνητρα αυτά διαφοροποιούνται και ανάλογα με το αν παρέχονται για ιδιωτικά οχήματα, ΤΑΧΙ ή κρατικά οχήματα. </w:t>
      </w:r>
    </w:p>
    <w:p w:rsidR="000C5992" w:rsidRPr="003126D9" w:rsidRDefault="000C5992" w:rsidP="003126D9">
      <w:pPr>
        <w:tabs>
          <w:tab w:val="left" w:pos="3300"/>
        </w:tabs>
        <w:spacing w:line="312" w:lineRule="auto"/>
        <w:jc w:val="both"/>
        <w:rPr>
          <w:rFonts w:ascii="Verdana" w:hAnsi="Verdana"/>
        </w:rPr>
      </w:pPr>
    </w:p>
    <w:p w:rsidR="00D07331" w:rsidRPr="003126D9" w:rsidRDefault="000C5992" w:rsidP="003126D9">
      <w:pPr>
        <w:tabs>
          <w:tab w:val="left" w:pos="3300"/>
        </w:tabs>
        <w:spacing w:line="312" w:lineRule="auto"/>
        <w:jc w:val="both"/>
        <w:rPr>
          <w:rFonts w:ascii="Verdana" w:hAnsi="Verdana"/>
          <w:b/>
          <w:u w:val="single"/>
        </w:rPr>
      </w:pPr>
      <w:r w:rsidRPr="003126D9">
        <w:rPr>
          <w:rFonts w:ascii="Verdana" w:hAnsi="Verdana"/>
          <w:b/>
          <w:u w:val="single"/>
        </w:rPr>
        <w:t>ΕΝΕΡΓΕΙΑΚΗ ΑΣΦΑΛΕΙΑ</w:t>
      </w:r>
    </w:p>
    <w:p w:rsidR="003126D9" w:rsidRDefault="003126D9" w:rsidP="003126D9">
      <w:pPr>
        <w:tabs>
          <w:tab w:val="left" w:pos="3300"/>
        </w:tabs>
        <w:spacing w:line="312" w:lineRule="auto"/>
        <w:jc w:val="both"/>
        <w:rPr>
          <w:rFonts w:ascii="Verdana" w:hAnsi="Verdana"/>
        </w:rPr>
      </w:pPr>
    </w:p>
    <w:p w:rsidR="00046EE6" w:rsidRPr="003126D9" w:rsidRDefault="00046EE6" w:rsidP="003126D9">
      <w:pPr>
        <w:tabs>
          <w:tab w:val="left" w:pos="3300"/>
        </w:tabs>
        <w:spacing w:line="312" w:lineRule="auto"/>
        <w:jc w:val="both"/>
        <w:rPr>
          <w:rFonts w:ascii="Verdana" w:hAnsi="Verdana"/>
          <w:b/>
          <w:u w:val="single"/>
        </w:rPr>
      </w:pPr>
      <w:r w:rsidRPr="003126D9">
        <w:rPr>
          <w:rFonts w:ascii="Verdana" w:hAnsi="Verdana"/>
        </w:rPr>
        <w:t xml:space="preserve">Για την ενεργειακή ασφάλεια, οι βασικοί στόχοι είναι </w:t>
      </w:r>
      <w:r w:rsidRPr="003126D9">
        <w:rPr>
          <w:rFonts w:ascii="Verdana" w:hAnsi="Verdana"/>
          <w:b/>
        </w:rPr>
        <w:t>η βέλτιστη αξιοποίηση και χρήση των εγχώριων ενεργειακών πηγών, κατά κύριο λόγο του αιολικού και ηλιακού δυναμικού</w:t>
      </w:r>
      <w:r w:rsidRPr="003126D9">
        <w:rPr>
          <w:rFonts w:ascii="Verdana" w:hAnsi="Verdana"/>
        </w:rPr>
        <w:t xml:space="preserve">, καθώς οι ΑΠΕ θα αναδειχθούν βαθμιαία ως ο νέος εθνικός ενεργειακός πόρος. Συμπληρωματικά, στο ευρύτερο πλαίσιο αξιοποίησης των εθνικών </w:t>
      </w:r>
      <w:r w:rsidRPr="003126D9">
        <w:rPr>
          <w:rFonts w:ascii="Verdana" w:hAnsi="Verdana"/>
        </w:rPr>
        <w:lastRenderedPageBreak/>
        <w:t xml:space="preserve">ενεργειακών πηγών εντάσσονται οι έρευνες για εξόρυξη και εκμετάλλευση υδρογονανθράκων. Επιδιώκεται επίσης: </w:t>
      </w:r>
    </w:p>
    <w:p w:rsidR="00A53DD7" w:rsidRPr="003126D9" w:rsidRDefault="00046EE6" w:rsidP="003126D9">
      <w:pPr>
        <w:tabs>
          <w:tab w:val="left" w:pos="3300"/>
        </w:tabs>
        <w:spacing w:line="312" w:lineRule="auto"/>
        <w:jc w:val="both"/>
        <w:rPr>
          <w:rFonts w:ascii="Verdana" w:hAnsi="Verdana"/>
        </w:rPr>
      </w:pPr>
      <w:r w:rsidRPr="003126D9">
        <w:rPr>
          <w:rFonts w:ascii="Verdana" w:hAnsi="Verdana"/>
        </w:rPr>
        <w:t>-</w:t>
      </w:r>
      <w:r w:rsidRPr="003126D9">
        <w:rPr>
          <w:rFonts w:ascii="Verdana" w:hAnsi="Verdana"/>
          <w:b/>
        </w:rPr>
        <w:t xml:space="preserve">Το </w:t>
      </w:r>
      <w:r w:rsidR="00A53DD7" w:rsidRPr="003126D9">
        <w:rPr>
          <w:rFonts w:ascii="Verdana" w:hAnsi="Verdana"/>
          <w:b/>
        </w:rPr>
        <w:t xml:space="preserve">αργότερο έως το 2030 να έχει αρθεί η ενεργειακή απομόνωση των νησιών </w:t>
      </w:r>
      <w:r w:rsidR="00A53DD7" w:rsidRPr="003126D9">
        <w:rPr>
          <w:rFonts w:ascii="Verdana" w:hAnsi="Verdana"/>
        </w:rPr>
        <w:t xml:space="preserve">και η συντριπτική πλειοψηφία αυτών να </w:t>
      </w:r>
      <w:r w:rsidRPr="003126D9">
        <w:rPr>
          <w:rFonts w:ascii="Verdana" w:hAnsi="Verdana"/>
        </w:rPr>
        <w:t xml:space="preserve">έχει </w:t>
      </w:r>
      <w:r w:rsidR="00A53DD7" w:rsidRPr="003126D9">
        <w:rPr>
          <w:rFonts w:ascii="Verdana" w:hAnsi="Verdana"/>
        </w:rPr>
        <w:t>διασυ</w:t>
      </w:r>
      <w:r w:rsidRPr="003126D9">
        <w:rPr>
          <w:rFonts w:ascii="Verdana" w:hAnsi="Verdana"/>
        </w:rPr>
        <w:t>νδεθεί με το Ηπειρωτικό Σύστημα</w:t>
      </w:r>
      <w:r w:rsidR="00D84C91" w:rsidRPr="003126D9">
        <w:rPr>
          <w:rFonts w:ascii="Verdana" w:hAnsi="Verdana"/>
        </w:rPr>
        <w:t>. Ο στόχος αυτός συνδέεται και με τον στόχο μείωσης της ενεργειακής εξάρτησης (που κυμαίνεται σήμερα στο 75%) με δεδομένο των κυρίαρχο ρόλο του εισαγόμενου πετρελαίου για την ηλεκτροπαραγωγή των Μη Διασυνδεδεμένων Νησιών.</w:t>
      </w:r>
    </w:p>
    <w:p w:rsidR="00046EE6" w:rsidRPr="003126D9" w:rsidRDefault="00046EE6" w:rsidP="003126D9">
      <w:pPr>
        <w:tabs>
          <w:tab w:val="left" w:pos="3300"/>
        </w:tabs>
        <w:spacing w:line="312" w:lineRule="auto"/>
        <w:jc w:val="both"/>
        <w:rPr>
          <w:rFonts w:ascii="Verdana" w:hAnsi="Verdana"/>
        </w:rPr>
      </w:pPr>
      <w:r w:rsidRPr="003126D9">
        <w:rPr>
          <w:rFonts w:ascii="Verdana" w:hAnsi="Verdana"/>
        </w:rPr>
        <w:t xml:space="preserve">-Να </w:t>
      </w:r>
      <w:r w:rsidRPr="003126D9">
        <w:rPr>
          <w:rFonts w:ascii="Verdana" w:hAnsi="Verdana"/>
          <w:b/>
        </w:rPr>
        <w:t>αυξηθεί η διαφοροποίηση των ενεργειακών πηγών</w:t>
      </w:r>
      <w:r w:rsidR="00D84C91" w:rsidRPr="003126D9">
        <w:rPr>
          <w:rFonts w:ascii="Verdana" w:hAnsi="Verdana"/>
        </w:rPr>
        <w:t xml:space="preserve"> και των προμηθευτών</w:t>
      </w:r>
    </w:p>
    <w:p w:rsidR="00D84C91" w:rsidRPr="003126D9" w:rsidRDefault="00D84C91" w:rsidP="003126D9">
      <w:pPr>
        <w:tabs>
          <w:tab w:val="left" w:pos="3300"/>
        </w:tabs>
        <w:spacing w:line="312" w:lineRule="auto"/>
        <w:jc w:val="both"/>
        <w:rPr>
          <w:rFonts w:ascii="Verdana" w:hAnsi="Verdana"/>
        </w:rPr>
      </w:pPr>
      <w:r w:rsidRPr="003126D9">
        <w:rPr>
          <w:rFonts w:ascii="Verdana" w:hAnsi="Verdana"/>
        </w:rPr>
        <w:t xml:space="preserve">-Να </w:t>
      </w:r>
      <w:r w:rsidRPr="003126D9">
        <w:rPr>
          <w:rFonts w:ascii="Verdana" w:hAnsi="Verdana"/>
          <w:b/>
        </w:rPr>
        <w:t>αναδειχθεί η χώρα ως περιφερειακός ενεργειακός κόμβος</w:t>
      </w:r>
      <w:r w:rsidRPr="003126D9">
        <w:rPr>
          <w:rFonts w:ascii="Verdana" w:hAnsi="Verdana"/>
        </w:rPr>
        <w:t xml:space="preserve">, μέσω της ενίσχυσης των </w:t>
      </w:r>
      <w:r w:rsidRPr="003126D9">
        <w:rPr>
          <w:rFonts w:ascii="Verdana" w:hAnsi="Verdana"/>
          <w:b/>
        </w:rPr>
        <w:t>διασυνοριακών διασυνδέσεων</w:t>
      </w:r>
      <w:r w:rsidRPr="003126D9">
        <w:rPr>
          <w:rFonts w:ascii="Verdana" w:hAnsi="Verdana"/>
        </w:rPr>
        <w:t xml:space="preserve"> (Ελλάδα-Βουλγαρία, Ελλάδα-Β. Μακεδονία κλπ.) αλλά και των </w:t>
      </w:r>
      <w:r w:rsidRPr="003126D9">
        <w:rPr>
          <w:rFonts w:ascii="Verdana" w:hAnsi="Verdana"/>
          <w:b/>
        </w:rPr>
        <w:t>κοινού ευρωπαϊκού ενδιαφέροντος έργων μεταφοράς/αποθήκευσης φυσικού αερίου</w:t>
      </w:r>
      <w:r w:rsidRPr="003126D9">
        <w:rPr>
          <w:rFonts w:ascii="Verdana" w:hAnsi="Verdana"/>
        </w:rPr>
        <w:t xml:space="preserve"> (αγωγοί </w:t>
      </w:r>
      <w:r w:rsidRPr="003126D9">
        <w:rPr>
          <w:rFonts w:ascii="Verdana" w:hAnsi="Verdana"/>
          <w:lang w:val="en-US"/>
        </w:rPr>
        <w:t>TAP</w:t>
      </w:r>
      <w:r w:rsidRPr="003126D9">
        <w:rPr>
          <w:rFonts w:ascii="Verdana" w:hAnsi="Verdana"/>
        </w:rPr>
        <w:t xml:space="preserve">, </w:t>
      </w:r>
      <w:r w:rsidRPr="003126D9">
        <w:rPr>
          <w:rFonts w:ascii="Verdana" w:hAnsi="Verdana"/>
          <w:lang w:val="en-US"/>
        </w:rPr>
        <w:t>IGB</w:t>
      </w:r>
      <w:r w:rsidRPr="003126D9">
        <w:rPr>
          <w:rFonts w:ascii="Verdana" w:hAnsi="Verdana"/>
        </w:rPr>
        <w:t xml:space="preserve">, υπόγεια αποθήκη Καβάλας, </w:t>
      </w:r>
      <w:r w:rsidRPr="003126D9">
        <w:rPr>
          <w:rFonts w:ascii="Verdana" w:hAnsi="Verdana"/>
          <w:lang w:val="en-US"/>
        </w:rPr>
        <w:t>FSRU</w:t>
      </w:r>
      <w:r w:rsidRPr="003126D9">
        <w:rPr>
          <w:rFonts w:ascii="Verdana" w:hAnsi="Verdana"/>
        </w:rPr>
        <w:t xml:space="preserve"> Αλεξανδρούπολης)</w:t>
      </w:r>
    </w:p>
    <w:p w:rsidR="000C5992" w:rsidRPr="003126D9" w:rsidRDefault="000C5992" w:rsidP="003126D9">
      <w:pPr>
        <w:spacing w:line="312" w:lineRule="auto"/>
        <w:jc w:val="both"/>
        <w:rPr>
          <w:rFonts w:ascii="Verdana" w:hAnsi="Verdana"/>
          <w:b/>
          <w:u w:val="single"/>
        </w:rPr>
      </w:pPr>
    </w:p>
    <w:p w:rsidR="000C5992" w:rsidRPr="003126D9" w:rsidRDefault="000C5992" w:rsidP="003126D9">
      <w:pPr>
        <w:spacing w:line="312" w:lineRule="auto"/>
        <w:jc w:val="both"/>
        <w:rPr>
          <w:rFonts w:ascii="Verdana" w:hAnsi="Verdana"/>
          <w:b/>
          <w:u w:val="single"/>
        </w:rPr>
      </w:pPr>
      <w:r w:rsidRPr="003126D9">
        <w:rPr>
          <w:rFonts w:ascii="Verdana" w:hAnsi="Verdana"/>
          <w:b/>
          <w:u w:val="single"/>
        </w:rPr>
        <w:t>ΕΡΕΥΝΑ-ΚΑΙΝΟΤΟΜΙΑ-ΑΝΤΑΓΩΝΙΣΤΙΚΟΤΗΤΑ</w:t>
      </w:r>
    </w:p>
    <w:p w:rsidR="000C5992" w:rsidRPr="003126D9" w:rsidRDefault="000C5992" w:rsidP="003126D9">
      <w:pPr>
        <w:spacing w:line="312" w:lineRule="auto"/>
        <w:jc w:val="both"/>
        <w:rPr>
          <w:rFonts w:ascii="Verdana" w:hAnsi="Verdana"/>
        </w:rPr>
      </w:pPr>
    </w:p>
    <w:p w:rsidR="003F53A6" w:rsidRPr="003126D9" w:rsidRDefault="005A3E41" w:rsidP="003126D9">
      <w:pPr>
        <w:spacing w:line="312" w:lineRule="auto"/>
        <w:jc w:val="both"/>
        <w:rPr>
          <w:rFonts w:ascii="Verdana" w:hAnsi="Verdana"/>
        </w:rPr>
      </w:pPr>
      <w:r>
        <w:rPr>
          <w:rFonts w:ascii="Verdana" w:hAnsi="Verdana"/>
        </w:rPr>
        <w:t xml:space="preserve">Η </w:t>
      </w:r>
      <w:r w:rsidR="003F53A6" w:rsidRPr="003126D9">
        <w:rPr>
          <w:rFonts w:ascii="Verdana" w:hAnsi="Verdana"/>
        </w:rPr>
        <w:t>προώθηση της Έρευνας και Καινοτομίας θα εξακολουθήσει να αποτελεί προτεραιότητα και την περίοδο 2020-2030 ενισχύοντας σημαντικά τεχνολογίες που θα συμβάλλουν στην επίτευξη των ενεργειακών στόχων. Προς αυτή την κατεύθυνση, η ακαθάριστη εγχώρια δαπάνη για έρευνα και τεχνολογική ανάπτυξη αναμένεται να διπλασιαστεί στην εξεταζόμενη περίοδο με αποτέλεσμα να ανέλθει στο 0,13% του ΑΕΠ για το έτος 2030 στον τομέα Ενέργεια-Περιβάλλον, έναντι 0,06% του ΑΕΠ που ήταν το 2017.</w:t>
      </w:r>
    </w:p>
    <w:p w:rsidR="003F53A6" w:rsidRDefault="003F53A6" w:rsidP="003126D9">
      <w:pPr>
        <w:spacing w:line="312" w:lineRule="auto"/>
        <w:jc w:val="both"/>
        <w:rPr>
          <w:rFonts w:ascii="Verdana" w:hAnsi="Verdana"/>
        </w:rPr>
      </w:pPr>
      <w:r w:rsidRPr="003126D9">
        <w:rPr>
          <w:rFonts w:ascii="Verdana" w:hAnsi="Verdana"/>
        </w:rPr>
        <w:t xml:space="preserve">Σε σχέση με την ανταγωνιστικότητα, ως προτεραιότητες αναδεικνύονται η βελτίωση της ενεργειακής έντασης και της έντασης εκπομπών αερίων του θερμοκηπίου, </w:t>
      </w:r>
      <w:r w:rsidRPr="003126D9">
        <w:rPr>
          <w:rFonts w:ascii="Verdana" w:hAnsi="Verdana"/>
          <w:b/>
        </w:rPr>
        <w:t>η μείωση του ενεργειακού κόστους και η αύξηση της εγχώριας προστιθέμενης αξίας του ενεργειακού τομέα</w:t>
      </w:r>
      <w:r w:rsidRPr="003126D9">
        <w:rPr>
          <w:rFonts w:ascii="Verdana" w:hAnsi="Verdana"/>
        </w:rPr>
        <w:t>. Η αξιοποίηση εξειδικευμένου επιστημονικού και τεχνικού ανθρώπινου δυναμικού αποτελεί κεντρική προτεραιότητα του ενεργειακού σχεδιασμού</w:t>
      </w:r>
      <w:r w:rsidR="0003011B" w:rsidRPr="003126D9">
        <w:rPr>
          <w:rFonts w:ascii="Verdana" w:hAnsi="Verdana"/>
        </w:rPr>
        <w:t xml:space="preserve">. </w:t>
      </w:r>
    </w:p>
    <w:p w:rsidR="003126D9" w:rsidRPr="005A3E41" w:rsidRDefault="003126D9" w:rsidP="003126D9">
      <w:pPr>
        <w:spacing w:line="312" w:lineRule="auto"/>
        <w:jc w:val="both"/>
        <w:rPr>
          <w:rFonts w:ascii="Verdana" w:hAnsi="Verdana"/>
          <w:b/>
          <w:u w:val="single"/>
        </w:rPr>
      </w:pPr>
    </w:p>
    <w:p w:rsidR="00E06DAC" w:rsidRDefault="00E06DAC">
      <w:pPr>
        <w:rPr>
          <w:rFonts w:ascii="Verdana" w:hAnsi="Verdana"/>
          <w:b/>
          <w:u w:val="single"/>
        </w:rPr>
      </w:pPr>
      <w:r>
        <w:rPr>
          <w:rFonts w:ascii="Verdana" w:hAnsi="Verdana"/>
          <w:b/>
          <w:u w:val="single"/>
        </w:rPr>
        <w:br w:type="page"/>
      </w:r>
    </w:p>
    <w:p w:rsidR="003126D9" w:rsidRDefault="003126D9" w:rsidP="003126D9">
      <w:pPr>
        <w:spacing w:line="312" w:lineRule="auto"/>
        <w:jc w:val="both"/>
        <w:rPr>
          <w:rFonts w:ascii="Verdana" w:hAnsi="Verdana"/>
          <w:b/>
          <w:u w:val="single"/>
        </w:rPr>
      </w:pPr>
      <w:r w:rsidRPr="005A3E41">
        <w:rPr>
          <w:rFonts w:ascii="Verdana" w:hAnsi="Verdana"/>
          <w:b/>
          <w:u w:val="single"/>
        </w:rPr>
        <w:lastRenderedPageBreak/>
        <w:t>ΜΗΧΑΝΙΣΜΟΣ ΔΙΑΚΥΒΕΡΝΗΣΗΣ ΕΣΕΚ</w:t>
      </w:r>
    </w:p>
    <w:p w:rsidR="005A3E41" w:rsidRDefault="005A3E41" w:rsidP="005A3E41">
      <w:pPr>
        <w:rPr>
          <w:rFonts w:ascii="Verdana" w:hAnsi="Verdana"/>
          <w:b/>
          <w:u w:val="single"/>
        </w:rPr>
      </w:pPr>
    </w:p>
    <w:p w:rsidR="00650A49" w:rsidRPr="00650A49" w:rsidRDefault="00D14D0F" w:rsidP="00650A49">
      <w:pPr>
        <w:spacing w:line="312" w:lineRule="auto"/>
        <w:jc w:val="both"/>
        <w:rPr>
          <w:rFonts w:ascii="Verdana" w:hAnsi="Verdana"/>
        </w:rPr>
      </w:pPr>
      <w:r>
        <w:rPr>
          <w:rFonts w:ascii="Verdana" w:hAnsi="Verdana"/>
        </w:rPr>
        <w:t xml:space="preserve">Η </w:t>
      </w:r>
      <w:r w:rsidR="005A3E41" w:rsidRPr="005A3E41">
        <w:rPr>
          <w:rFonts w:ascii="Verdana" w:hAnsi="Verdana"/>
        </w:rPr>
        <w:t xml:space="preserve">επίτευξη των στόχων έως το έτος 2030 στο πλαίσιο του ΕΣΕΚ απαιτεί την εφαρμογή ενός μηχανισμού </w:t>
      </w:r>
      <w:r w:rsidR="00650A49">
        <w:rPr>
          <w:rFonts w:ascii="Verdana" w:hAnsi="Verdana"/>
        </w:rPr>
        <w:t xml:space="preserve">που </w:t>
      </w:r>
      <w:r w:rsidR="005A3E41" w:rsidRPr="005A3E41">
        <w:rPr>
          <w:rFonts w:ascii="Verdana" w:hAnsi="Verdana"/>
        </w:rPr>
        <w:t xml:space="preserve">θα διασφαλίσει τόσο την αποτελεσματική εφαρμογή των μέτρων πολιτικής που περιλαμβάνονται στο παρόν ΕΣΕΚ, όσο και τον ανασχεδιασμό των υφιστάμενων και το σχεδιασμό νέων με στόχο την επίτευξη των στόχων και τη μεγιστοποίηση των συνεργειών μεταξύ </w:t>
      </w:r>
      <w:proofErr w:type="spellStart"/>
      <w:r w:rsidR="005A3E41" w:rsidRPr="005A3E41">
        <w:rPr>
          <w:rFonts w:ascii="Verdana" w:hAnsi="Verdana"/>
        </w:rPr>
        <w:t>διατομεακών</w:t>
      </w:r>
      <w:proofErr w:type="spellEnd"/>
      <w:r w:rsidR="005A3E41" w:rsidRPr="005A3E41">
        <w:rPr>
          <w:rFonts w:ascii="Verdana" w:hAnsi="Verdana"/>
        </w:rPr>
        <w:t xml:space="preserve"> πολιτικών.</w:t>
      </w:r>
      <w:r w:rsidR="00650A49">
        <w:rPr>
          <w:rFonts w:ascii="Verdana" w:hAnsi="Verdana"/>
        </w:rPr>
        <w:t xml:space="preserve"> </w:t>
      </w:r>
      <w:r w:rsidR="00650A49" w:rsidRPr="00650A49">
        <w:rPr>
          <w:rFonts w:ascii="Verdana" w:hAnsi="Verdana"/>
          <w:b/>
        </w:rPr>
        <w:t>Η ανάπτυξη ενός ενιαίου πλαισίου διακυβέρνησης, μέσω του οποίου θα παρακολουθείται και θα αξιολογείται, με συνεκτικό τρόπο, τόσο το σύνολο των μέτρων πολιτικής που προβλέπονται στο παρόν ΕΣΕΚ έως το έτος 2030, όσο και η συνεισφορά των εμπλεκομένων μερών κατά την εφαρμογή τους αποτελεί βασική προτεραιότητα</w:t>
      </w:r>
      <w:r w:rsidR="00650A49" w:rsidRPr="00650A49">
        <w:rPr>
          <w:rFonts w:ascii="Verdana" w:hAnsi="Verdana"/>
        </w:rPr>
        <w:t>. Κεντρικό ρόλο στην ανάπτυξη και την εφαρμογή αυτού του πλαισίου διακυβέρνησης αναλαμβάνει η Κυβερνητική Επιτροπή για την Ενέργεια και το Κλίμα.</w:t>
      </w:r>
    </w:p>
    <w:p w:rsidR="00650A49" w:rsidRPr="00D14D0F" w:rsidRDefault="00650A49" w:rsidP="00D14D0F">
      <w:pPr>
        <w:spacing w:line="312" w:lineRule="auto"/>
        <w:jc w:val="both"/>
        <w:rPr>
          <w:rFonts w:ascii="Verdana" w:hAnsi="Verdana"/>
        </w:rPr>
      </w:pPr>
      <w:r w:rsidRPr="00650A49">
        <w:rPr>
          <w:rFonts w:ascii="Verdana" w:hAnsi="Verdana"/>
        </w:rPr>
        <w:t xml:space="preserve">Η εφαρμογή του ενιαίου πλαισίου θα εξειδικευτεί με τον </w:t>
      </w:r>
      <w:r w:rsidRPr="00650A49">
        <w:rPr>
          <w:rFonts w:ascii="Verdana" w:hAnsi="Verdana"/>
          <w:b/>
        </w:rPr>
        <w:t>καθορισμό συγκεκριμένων διαδικασιών που θα ακολουθούνται σε όλη την περίοδο 2021-2030</w:t>
      </w:r>
      <w:r w:rsidRPr="00650A49">
        <w:rPr>
          <w:rFonts w:ascii="Verdana" w:hAnsi="Verdana"/>
        </w:rPr>
        <w:t>. Ενδεικτικά αναφέρεται ότι, οι συγκεκριμένες διαδικασίες θα αφορούν στην παρακολούθηση, στον έλεγχο και εποπτεία της υλοποίησης των πολιτικών και μέτρων που περιλαμβάνονται στο ΕΣΕΚ καθώς και στην αξιολόγηση της προόδο</w:t>
      </w:r>
      <w:r>
        <w:rPr>
          <w:rFonts w:ascii="Verdana" w:hAnsi="Verdana"/>
        </w:rPr>
        <w:t xml:space="preserve">υ επίτευξης των εθνικών στόχων, με σαφή αναφορά στις αρμοδιότητες και υποχρεώσεις όλων </w:t>
      </w:r>
      <w:r w:rsidR="00D14D0F">
        <w:rPr>
          <w:rFonts w:ascii="Verdana" w:hAnsi="Verdana"/>
        </w:rPr>
        <w:t xml:space="preserve">των εμπλεκομένων φορέων. </w:t>
      </w:r>
      <w:r w:rsidRPr="00D14D0F">
        <w:rPr>
          <w:rFonts w:ascii="Verdana" w:hAnsi="Verdana"/>
        </w:rPr>
        <w:t xml:space="preserve">Αποτέλεσμα της εφαρμογής του ενιαίου πλαισίου διακυβέρνησης θα είναι </w:t>
      </w:r>
      <w:r w:rsidRPr="00D14D0F">
        <w:rPr>
          <w:rFonts w:ascii="Verdana" w:hAnsi="Verdana"/>
          <w:b/>
        </w:rPr>
        <w:t>η διασφάλιση της συνέχειας των πολιτικών και μέτρων που θα εφαρμοστούν καθώς και της συνέπειας των θεσμικών φορέων, τόσο του δημόσιου όσο και του ιδιωτικού τομέα,</w:t>
      </w:r>
      <w:r w:rsidRPr="00D14D0F">
        <w:rPr>
          <w:rFonts w:ascii="Verdana" w:hAnsi="Verdana"/>
        </w:rPr>
        <w:t xml:space="preserve"> που εμπλέκονται στην εφαρμογή τους</w:t>
      </w:r>
      <w:r w:rsidR="00D14D0F">
        <w:rPr>
          <w:rFonts w:ascii="Verdana" w:hAnsi="Verdana"/>
        </w:rPr>
        <w:t>.</w:t>
      </w:r>
    </w:p>
    <w:p w:rsidR="00650A49" w:rsidRPr="00E06DAC" w:rsidRDefault="00D14D0F" w:rsidP="00D14D0F">
      <w:pPr>
        <w:spacing w:line="312" w:lineRule="auto"/>
        <w:jc w:val="both"/>
        <w:rPr>
          <w:rFonts w:ascii="Verdana" w:hAnsi="Verdana"/>
        </w:rPr>
      </w:pPr>
      <w:r>
        <w:rPr>
          <w:rFonts w:ascii="Verdana" w:hAnsi="Verdana"/>
        </w:rPr>
        <w:t>Β</w:t>
      </w:r>
      <w:r w:rsidR="00650A49" w:rsidRPr="00D14D0F">
        <w:rPr>
          <w:rFonts w:ascii="Verdana" w:hAnsi="Verdana"/>
        </w:rPr>
        <w:t xml:space="preserve">ασική συνιστώσα του ενιαίου πλαισίου διακυβέρνησης είναι η ανάπτυξη ενός ολοκληρωμένου </w:t>
      </w:r>
      <w:r w:rsidR="00650A49" w:rsidRPr="00D14D0F">
        <w:rPr>
          <w:rFonts w:ascii="Verdana" w:hAnsi="Verdana"/>
          <w:b/>
        </w:rPr>
        <w:t>Μηχανισμού Παρακολούθησης</w:t>
      </w:r>
      <w:r w:rsidR="00650A49" w:rsidRPr="00D14D0F">
        <w:rPr>
          <w:rFonts w:ascii="Verdana" w:hAnsi="Verdana"/>
        </w:rPr>
        <w:t xml:space="preserve"> των εφαρμοζόμενων πολιτικών και μέτρων. Ο συγκεκριμένος μηχανισμός θα περιλαμβάνει διαδικασίες για τη συνεχή παρακολούθηση τόσο της επίτευξης των επιμέρους στόχων του ΕΣΕΚ, όσο και των επιδόσεων και επιπτώσεων κάθε μέτρου πολιτικής ξεχωριστά με τη χρήση και σχετικών κ</w:t>
      </w:r>
      <w:r>
        <w:rPr>
          <w:rFonts w:ascii="Verdana" w:hAnsi="Verdana"/>
        </w:rPr>
        <w:t>ρίσιμων δεικτών απόδοσης.</w:t>
      </w:r>
    </w:p>
    <w:p w:rsidR="005A3E41" w:rsidRPr="00650A49" w:rsidRDefault="005A3E41" w:rsidP="00650A49">
      <w:pPr>
        <w:spacing w:line="312" w:lineRule="auto"/>
        <w:jc w:val="both"/>
        <w:rPr>
          <w:rFonts w:ascii="Verdana" w:hAnsi="Verdana"/>
        </w:rPr>
      </w:pPr>
    </w:p>
    <w:p w:rsidR="005A3E41" w:rsidRPr="00650A49" w:rsidRDefault="005A3E41" w:rsidP="00650A49">
      <w:pPr>
        <w:spacing w:line="312" w:lineRule="auto"/>
        <w:jc w:val="both"/>
        <w:rPr>
          <w:rFonts w:ascii="Verdana" w:hAnsi="Verdana"/>
          <w:u w:val="single"/>
        </w:rPr>
      </w:pPr>
    </w:p>
    <w:p w:rsidR="00D84C91" w:rsidRPr="00650A49" w:rsidRDefault="00D84C91" w:rsidP="00650A49">
      <w:pPr>
        <w:tabs>
          <w:tab w:val="left" w:pos="3300"/>
        </w:tabs>
        <w:spacing w:line="312" w:lineRule="auto"/>
        <w:jc w:val="both"/>
        <w:rPr>
          <w:rFonts w:ascii="Verdana" w:hAnsi="Verdana"/>
        </w:rPr>
      </w:pPr>
    </w:p>
    <w:sectPr w:rsidR="00D84C91" w:rsidRPr="00650A4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D4" w:rsidRDefault="007A34D4" w:rsidP="00DC5AB1">
      <w:pPr>
        <w:spacing w:after="0" w:line="240" w:lineRule="auto"/>
      </w:pPr>
      <w:r>
        <w:separator/>
      </w:r>
    </w:p>
  </w:endnote>
  <w:endnote w:type="continuationSeparator" w:id="0">
    <w:p w:rsidR="007A34D4" w:rsidRDefault="007A34D4" w:rsidP="00DC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09838"/>
      <w:docPartObj>
        <w:docPartGallery w:val="Page Numbers (Bottom of Page)"/>
        <w:docPartUnique/>
      </w:docPartObj>
    </w:sdtPr>
    <w:sdtEndPr/>
    <w:sdtContent>
      <w:p w:rsidR="00E06DAC" w:rsidRDefault="00E06DAC">
        <w:pPr>
          <w:pStyle w:val="a4"/>
          <w:jc w:val="right"/>
        </w:pPr>
        <w:r>
          <w:fldChar w:fldCharType="begin"/>
        </w:r>
        <w:r>
          <w:instrText>PAGE   \* MERGEFORMAT</w:instrText>
        </w:r>
        <w:r>
          <w:fldChar w:fldCharType="separate"/>
        </w:r>
        <w:r w:rsidR="00273726">
          <w:rPr>
            <w:noProof/>
          </w:rPr>
          <w:t>12</w:t>
        </w:r>
        <w:r>
          <w:fldChar w:fldCharType="end"/>
        </w:r>
      </w:p>
    </w:sdtContent>
  </w:sdt>
  <w:p w:rsidR="00E06DAC" w:rsidRDefault="00E06D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D4" w:rsidRDefault="007A34D4" w:rsidP="00DC5AB1">
      <w:pPr>
        <w:spacing w:after="0" w:line="240" w:lineRule="auto"/>
      </w:pPr>
      <w:r>
        <w:separator/>
      </w:r>
    </w:p>
  </w:footnote>
  <w:footnote w:type="continuationSeparator" w:id="0">
    <w:p w:rsidR="007A34D4" w:rsidRDefault="007A34D4" w:rsidP="00DC5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multilevel"/>
    <w:tmpl w:val="0000002E"/>
    <w:name w:val="WW8Num48"/>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D44629F"/>
    <w:multiLevelType w:val="hybridMultilevel"/>
    <w:tmpl w:val="8182D6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31CF9"/>
    <w:multiLevelType w:val="hybridMultilevel"/>
    <w:tmpl w:val="89B671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664FAE"/>
    <w:multiLevelType w:val="hybridMultilevel"/>
    <w:tmpl w:val="08E8F764"/>
    <w:lvl w:ilvl="0" w:tplc="7F100C6C">
      <w:start w:val="1"/>
      <w:numFmt w:val="bullet"/>
      <w:lvlText w:val=""/>
      <w:lvlJc w:val="left"/>
      <w:pPr>
        <w:tabs>
          <w:tab w:val="num" w:pos="720"/>
        </w:tabs>
        <w:ind w:left="720" w:hanging="360"/>
      </w:pPr>
      <w:rPr>
        <w:rFonts w:ascii="Wingdings" w:hAnsi="Wingdings" w:hint="default"/>
      </w:rPr>
    </w:lvl>
    <w:lvl w:ilvl="1" w:tplc="EEA84BBA" w:tentative="1">
      <w:start w:val="1"/>
      <w:numFmt w:val="bullet"/>
      <w:lvlText w:val=""/>
      <w:lvlJc w:val="left"/>
      <w:pPr>
        <w:tabs>
          <w:tab w:val="num" w:pos="1440"/>
        </w:tabs>
        <w:ind w:left="1440" w:hanging="360"/>
      </w:pPr>
      <w:rPr>
        <w:rFonts w:ascii="Wingdings" w:hAnsi="Wingdings" w:hint="default"/>
      </w:rPr>
    </w:lvl>
    <w:lvl w:ilvl="2" w:tplc="87647C8E" w:tentative="1">
      <w:start w:val="1"/>
      <w:numFmt w:val="bullet"/>
      <w:lvlText w:val=""/>
      <w:lvlJc w:val="left"/>
      <w:pPr>
        <w:tabs>
          <w:tab w:val="num" w:pos="2160"/>
        </w:tabs>
        <w:ind w:left="2160" w:hanging="360"/>
      </w:pPr>
      <w:rPr>
        <w:rFonts w:ascii="Wingdings" w:hAnsi="Wingdings" w:hint="default"/>
      </w:rPr>
    </w:lvl>
    <w:lvl w:ilvl="3" w:tplc="C59CA256" w:tentative="1">
      <w:start w:val="1"/>
      <w:numFmt w:val="bullet"/>
      <w:lvlText w:val=""/>
      <w:lvlJc w:val="left"/>
      <w:pPr>
        <w:tabs>
          <w:tab w:val="num" w:pos="2880"/>
        </w:tabs>
        <w:ind w:left="2880" w:hanging="360"/>
      </w:pPr>
      <w:rPr>
        <w:rFonts w:ascii="Wingdings" w:hAnsi="Wingdings" w:hint="default"/>
      </w:rPr>
    </w:lvl>
    <w:lvl w:ilvl="4" w:tplc="3DE26ECC" w:tentative="1">
      <w:start w:val="1"/>
      <w:numFmt w:val="bullet"/>
      <w:lvlText w:val=""/>
      <w:lvlJc w:val="left"/>
      <w:pPr>
        <w:tabs>
          <w:tab w:val="num" w:pos="3600"/>
        </w:tabs>
        <w:ind w:left="3600" w:hanging="360"/>
      </w:pPr>
      <w:rPr>
        <w:rFonts w:ascii="Wingdings" w:hAnsi="Wingdings" w:hint="default"/>
      </w:rPr>
    </w:lvl>
    <w:lvl w:ilvl="5" w:tplc="0CEAAAB6" w:tentative="1">
      <w:start w:val="1"/>
      <w:numFmt w:val="bullet"/>
      <w:lvlText w:val=""/>
      <w:lvlJc w:val="left"/>
      <w:pPr>
        <w:tabs>
          <w:tab w:val="num" w:pos="4320"/>
        </w:tabs>
        <w:ind w:left="4320" w:hanging="360"/>
      </w:pPr>
      <w:rPr>
        <w:rFonts w:ascii="Wingdings" w:hAnsi="Wingdings" w:hint="default"/>
      </w:rPr>
    </w:lvl>
    <w:lvl w:ilvl="6" w:tplc="78E8BA98" w:tentative="1">
      <w:start w:val="1"/>
      <w:numFmt w:val="bullet"/>
      <w:lvlText w:val=""/>
      <w:lvlJc w:val="left"/>
      <w:pPr>
        <w:tabs>
          <w:tab w:val="num" w:pos="5040"/>
        </w:tabs>
        <w:ind w:left="5040" w:hanging="360"/>
      </w:pPr>
      <w:rPr>
        <w:rFonts w:ascii="Wingdings" w:hAnsi="Wingdings" w:hint="default"/>
      </w:rPr>
    </w:lvl>
    <w:lvl w:ilvl="7" w:tplc="CB446E06" w:tentative="1">
      <w:start w:val="1"/>
      <w:numFmt w:val="bullet"/>
      <w:lvlText w:val=""/>
      <w:lvlJc w:val="left"/>
      <w:pPr>
        <w:tabs>
          <w:tab w:val="num" w:pos="5760"/>
        </w:tabs>
        <w:ind w:left="5760" w:hanging="360"/>
      </w:pPr>
      <w:rPr>
        <w:rFonts w:ascii="Wingdings" w:hAnsi="Wingdings" w:hint="default"/>
      </w:rPr>
    </w:lvl>
    <w:lvl w:ilvl="8" w:tplc="595471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63223"/>
    <w:multiLevelType w:val="hybridMultilevel"/>
    <w:tmpl w:val="1D105A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CC119A"/>
    <w:multiLevelType w:val="hybridMultilevel"/>
    <w:tmpl w:val="3606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35812"/>
    <w:multiLevelType w:val="hybridMultilevel"/>
    <w:tmpl w:val="DF3448C0"/>
    <w:lvl w:ilvl="0" w:tplc="0408000B">
      <w:start w:val="1"/>
      <w:numFmt w:val="bullet"/>
      <w:lvlText w:val=""/>
      <w:lvlJc w:val="left"/>
      <w:pPr>
        <w:tabs>
          <w:tab w:val="num" w:pos="720"/>
        </w:tabs>
        <w:ind w:left="720" w:hanging="360"/>
      </w:pPr>
      <w:rPr>
        <w:rFonts w:ascii="Wingdings" w:hAnsi="Wingdings" w:hint="default"/>
      </w:rPr>
    </w:lvl>
    <w:lvl w:ilvl="1" w:tplc="EEA84BBA" w:tentative="1">
      <w:start w:val="1"/>
      <w:numFmt w:val="bullet"/>
      <w:lvlText w:val=""/>
      <w:lvlJc w:val="left"/>
      <w:pPr>
        <w:tabs>
          <w:tab w:val="num" w:pos="1440"/>
        </w:tabs>
        <w:ind w:left="1440" w:hanging="360"/>
      </w:pPr>
      <w:rPr>
        <w:rFonts w:ascii="Wingdings" w:hAnsi="Wingdings" w:hint="default"/>
      </w:rPr>
    </w:lvl>
    <w:lvl w:ilvl="2" w:tplc="87647C8E" w:tentative="1">
      <w:start w:val="1"/>
      <w:numFmt w:val="bullet"/>
      <w:lvlText w:val=""/>
      <w:lvlJc w:val="left"/>
      <w:pPr>
        <w:tabs>
          <w:tab w:val="num" w:pos="2160"/>
        </w:tabs>
        <w:ind w:left="2160" w:hanging="360"/>
      </w:pPr>
      <w:rPr>
        <w:rFonts w:ascii="Wingdings" w:hAnsi="Wingdings" w:hint="default"/>
      </w:rPr>
    </w:lvl>
    <w:lvl w:ilvl="3" w:tplc="C59CA256" w:tentative="1">
      <w:start w:val="1"/>
      <w:numFmt w:val="bullet"/>
      <w:lvlText w:val=""/>
      <w:lvlJc w:val="left"/>
      <w:pPr>
        <w:tabs>
          <w:tab w:val="num" w:pos="2880"/>
        </w:tabs>
        <w:ind w:left="2880" w:hanging="360"/>
      </w:pPr>
      <w:rPr>
        <w:rFonts w:ascii="Wingdings" w:hAnsi="Wingdings" w:hint="default"/>
      </w:rPr>
    </w:lvl>
    <w:lvl w:ilvl="4" w:tplc="3DE26ECC" w:tentative="1">
      <w:start w:val="1"/>
      <w:numFmt w:val="bullet"/>
      <w:lvlText w:val=""/>
      <w:lvlJc w:val="left"/>
      <w:pPr>
        <w:tabs>
          <w:tab w:val="num" w:pos="3600"/>
        </w:tabs>
        <w:ind w:left="3600" w:hanging="360"/>
      </w:pPr>
      <w:rPr>
        <w:rFonts w:ascii="Wingdings" w:hAnsi="Wingdings" w:hint="default"/>
      </w:rPr>
    </w:lvl>
    <w:lvl w:ilvl="5" w:tplc="0CEAAAB6" w:tentative="1">
      <w:start w:val="1"/>
      <w:numFmt w:val="bullet"/>
      <w:lvlText w:val=""/>
      <w:lvlJc w:val="left"/>
      <w:pPr>
        <w:tabs>
          <w:tab w:val="num" w:pos="4320"/>
        </w:tabs>
        <w:ind w:left="4320" w:hanging="360"/>
      </w:pPr>
      <w:rPr>
        <w:rFonts w:ascii="Wingdings" w:hAnsi="Wingdings" w:hint="default"/>
      </w:rPr>
    </w:lvl>
    <w:lvl w:ilvl="6" w:tplc="78E8BA98" w:tentative="1">
      <w:start w:val="1"/>
      <w:numFmt w:val="bullet"/>
      <w:lvlText w:val=""/>
      <w:lvlJc w:val="left"/>
      <w:pPr>
        <w:tabs>
          <w:tab w:val="num" w:pos="5040"/>
        </w:tabs>
        <w:ind w:left="5040" w:hanging="360"/>
      </w:pPr>
      <w:rPr>
        <w:rFonts w:ascii="Wingdings" w:hAnsi="Wingdings" w:hint="default"/>
      </w:rPr>
    </w:lvl>
    <w:lvl w:ilvl="7" w:tplc="CB446E06" w:tentative="1">
      <w:start w:val="1"/>
      <w:numFmt w:val="bullet"/>
      <w:lvlText w:val=""/>
      <w:lvlJc w:val="left"/>
      <w:pPr>
        <w:tabs>
          <w:tab w:val="num" w:pos="5760"/>
        </w:tabs>
        <w:ind w:left="5760" w:hanging="360"/>
      </w:pPr>
      <w:rPr>
        <w:rFonts w:ascii="Wingdings" w:hAnsi="Wingdings" w:hint="default"/>
      </w:rPr>
    </w:lvl>
    <w:lvl w:ilvl="8" w:tplc="5954715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CC"/>
    <w:rsid w:val="0003011B"/>
    <w:rsid w:val="00046EE6"/>
    <w:rsid w:val="000B58B4"/>
    <w:rsid w:val="000C5992"/>
    <w:rsid w:val="00162560"/>
    <w:rsid w:val="00273726"/>
    <w:rsid w:val="00287EA9"/>
    <w:rsid w:val="00292A97"/>
    <w:rsid w:val="002A38EC"/>
    <w:rsid w:val="003126D9"/>
    <w:rsid w:val="003F53A6"/>
    <w:rsid w:val="00420DCE"/>
    <w:rsid w:val="00454ECB"/>
    <w:rsid w:val="005916B5"/>
    <w:rsid w:val="005A3E41"/>
    <w:rsid w:val="00650A49"/>
    <w:rsid w:val="0067647C"/>
    <w:rsid w:val="0069391E"/>
    <w:rsid w:val="007A34D4"/>
    <w:rsid w:val="007D7525"/>
    <w:rsid w:val="009272C1"/>
    <w:rsid w:val="00A53DD7"/>
    <w:rsid w:val="00AF08DD"/>
    <w:rsid w:val="00B57B20"/>
    <w:rsid w:val="00B9273D"/>
    <w:rsid w:val="00C45770"/>
    <w:rsid w:val="00D07331"/>
    <w:rsid w:val="00D14D0F"/>
    <w:rsid w:val="00D24F60"/>
    <w:rsid w:val="00D3096C"/>
    <w:rsid w:val="00D37BCC"/>
    <w:rsid w:val="00D43C30"/>
    <w:rsid w:val="00D809CF"/>
    <w:rsid w:val="00D84C91"/>
    <w:rsid w:val="00DC5AB1"/>
    <w:rsid w:val="00E06DAC"/>
    <w:rsid w:val="00E7506F"/>
    <w:rsid w:val="00EC67AD"/>
    <w:rsid w:val="00F629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6C44F-4AA0-41C2-B386-CB8D08DC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DC5A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a0"/>
    <w:link w:val="Default"/>
    <w:rsid w:val="00DC5AB1"/>
    <w:rPr>
      <w:rFonts w:ascii="Times New Roman" w:hAnsi="Times New Roman" w:cs="Times New Roman"/>
      <w:color w:val="000000"/>
      <w:sz w:val="24"/>
      <w:szCs w:val="24"/>
    </w:rPr>
  </w:style>
  <w:style w:type="paragraph" w:styleId="a3">
    <w:name w:val="header"/>
    <w:basedOn w:val="a"/>
    <w:link w:val="Char"/>
    <w:uiPriority w:val="99"/>
    <w:unhideWhenUsed/>
    <w:rsid w:val="00DC5AB1"/>
    <w:pPr>
      <w:tabs>
        <w:tab w:val="center" w:pos="4153"/>
        <w:tab w:val="right" w:pos="8306"/>
      </w:tabs>
      <w:spacing w:after="0" w:line="240" w:lineRule="auto"/>
    </w:pPr>
  </w:style>
  <w:style w:type="character" w:customStyle="1" w:styleId="Char">
    <w:name w:val="Κεφαλίδα Char"/>
    <w:basedOn w:val="a0"/>
    <w:link w:val="a3"/>
    <w:uiPriority w:val="99"/>
    <w:rsid w:val="00DC5AB1"/>
  </w:style>
  <w:style w:type="paragraph" w:styleId="a4">
    <w:name w:val="footer"/>
    <w:basedOn w:val="a"/>
    <w:link w:val="Char0"/>
    <w:uiPriority w:val="99"/>
    <w:unhideWhenUsed/>
    <w:rsid w:val="00DC5AB1"/>
    <w:pPr>
      <w:tabs>
        <w:tab w:val="center" w:pos="4153"/>
        <w:tab w:val="right" w:pos="8306"/>
      </w:tabs>
      <w:spacing w:after="0" w:line="240" w:lineRule="auto"/>
    </w:pPr>
  </w:style>
  <w:style w:type="character" w:customStyle="1" w:styleId="Char0">
    <w:name w:val="Υποσέλιδο Char"/>
    <w:basedOn w:val="a0"/>
    <w:link w:val="a4"/>
    <w:uiPriority w:val="99"/>
    <w:rsid w:val="00DC5AB1"/>
  </w:style>
  <w:style w:type="paragraph" w:styleId="a5">
    <w:name w:val="List Paragraph"/>
    <w:basedOn w:val="a"/>
    <w:link w:val="Char1"/>
    <w:uiPriority w:val="34"/>
    <w:qFormat/>
    <w:rsid w:val="000C5992"/>
    <w:pPr>
      <w:spacing w:before="120" w:after="120" w:line="312" w:lineRule="auto"/>
      <w:ind w:left="720"/>
      <w:contextualSpacing/>
      <w:jc w:val="both"/>
    </w:pPr>
    <w:rPr>
      <w:lang w:val="de-DE"/>
    </w:rPr>
  </w:style>
  <w:style w:type="character" w:customStyle="1" w:styleId="Char1">
    <w:name w:val="Παράγραφος λίστας Char"/>
    <w:link w:val="a5"/>
    <w:uiPriority w:val="34"/>
    <w:rsid w:val="000C5992"/>
    <w:rPr>
      <w:lang w:val="de-DE"/>
    </w:rPr>
  </w:style>
  <w:style w:type="paragraph" w:styleId="a6">
    <w:name w:val="Balloon Text"/>
    <w:basedOn w:val="a"/>
    <w:link w:val="Char2"/>
    <w:uiPriority w:val="99"/>
    <w:semiHidden/>
    <w:unhideWhenUsed/>
    <w:rsid w:val="0067647C"/>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676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7734">
      <w:bodyDiv w:val="1"/>
      <w:marLeft w:val="0"/>
      <w:marRight w:val="0"/>
      <w:marTop w:val="0"/>
      <w:marBottom w:val="0"/>
      <w:divBdr>
        <w:top w:val="none" w:sz="0" w:space="0" w:color="auto"/>
        <w:left w:val="none" w:sz="0" w:space="0" w:color="auto"/>
        <w:bottom w:val="none" w:sz="0" w:space="0" w:color="auto"/>
        <w:right w:val="none" w:sz="0" w:space="0" w:color="auto"/>
      </w:divBdr>
      <w:divsChild>
        <w:div w:id="432676105">
          <w:marLeft w:val="446"/>
          <w:marRight w:val="0"/>
          <w:marTop w:val="120"/>
          <w:marBottom w:val="120"/>
          <w:divBdr>
            <w:top w:val="none" w:sz="0" w:space="0" w:color="auto"/>
            <w:left w:val="none" w:sz="0" w:space="0" w:color="auto"/>
            <w:bottom w:val="none" w:sz="0" w:space="0" w:color="auto"/>
            <w:right w:val="none" w:sz="0" w:space="0" w:color="auto"/>
          </w:divBdr>
        </w:div>
        <w:div w:id="828401926">
          <w:marLeft w:val="446"/>
          <w:marRight w:val="0"/>
          <w:marTop w:val="120"/>
          <w:marBottom w:val="120"/>
          <w:divBdr>
            <w:top w:val="none" w:sz="0" w:space="0" w:color="auto"/>
            <w:left w:val="none" w:sz="0" w:space="0" w:color="auto"/>
            <w:bottom w:val="none" w:sz="0" w:space="0" w:color="auto"/>
            <w:right w:val="none" w:sz="0" w:space="0" w:color="auto"/>
          </w:divBdr>
        </w:div>
        <w:div w:id="1497456281">
          <w:marLeft w:val="446"/>
          <w:marRight w:val="0"/>
          <w:marTop w:val="120"/>
          <w:marBottom w:val="120"/>
          <w:divBdr>
            <w:top w:val="none" w:sz="0" w:space="0" w:color="auto"/>
            <w:left w:val="none" w:sz="0" w:space="0" w:color="auto"/>
            <w:bottom w:val="none" w:sz="0" w:space="0" w:color="auto"/>
            <w:right w:val="none" w:sz="0" w:space="0" w:color="auto"/>
          </w:divBdr>
        </w:div>
        <w:div w:id="1632858057">
          <w:marLeft w:val="446"/>
          <w:marRight w:val="0"/>
          <w:marTop w:val="120"/>
          <w:marBottom w:val="120"/>
          <w:divBdr>
            <w:top w:val="none" w:sz="0" w:space="0" w:color="auto"/>
            <w:left w:val="none" w:sz="0" w:space="0" w:color="auto"/>
            <w:bottom w:val="none" w:sz="0" w:space="0" w:color="auto"/>
            <w:right w:val="none" w:sz="0" w:space="0" w:color="auto"/>
          </w:divBdr>
        </w:div>
        <w:div w:id="894122442">
          <w:marLeft w:val="446"/>
          <w:marRight w:val="0"/>
          <w:marTop w:val="120"/>
          <w:marBottom w:val="120"/>
          <w:divBdr>
            <w:top w:val="none" w:sz="0" w:space="0" w:color="auto"/>
            <w:left w:val="none" w:sz="0" w:space="0" w:color="auto"/>
            <w:bottom w:val="none" w:sz="0" w:space="0" w:color="auto"/>
            <w:right w:val="none" w:sz="0" w:space="0" w:color="auto"/>
          </w:divBdr>
        </w:div>
        <w:div w:id="784547321">
          <w:marLeft w:val="446"/>
          <w:marRight w:val="0"/>
          <w:marTop w:val="120"/>
          <w:marBottom w:val="120"/>
          <w:divBdr>
            <w:top w:val="none" w:sz="0" w:space="0" w:color="auto"/>
            <w:left w:val="none" w:sz="0" w:space="0" w:color="auto"/>
            <w:bottom w:val="none" w:sz="0" w:space="0" w:color="auto"/>
            <w:right w:val="none" w:sz="0" w:space="0" w:color="auto"/>
          </w:divBdr>
        </w:div>
      </w:divsChild>
    </w:div>
    <w:div w:id="84240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3008</Words>
  <Characters>16249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Lalela Chryssanthopoulou</dc:creator>
  <cp:lastModifiedBy>Γιώργος Τσώνης</cp:lastModifiedBy>
  <cp:revision>2</cp:revision>
  <dcterms:created xsi:type="dcterms:W3CDTF">2019-11-29T06:52:00Z</dcterms:created>
  <dcterms:modified xsi:type="dcterms:W3CDTF">2019-11-29T06:52:00Z</dcterms:modified>
</cp:coreProperties>
</file>